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71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ind w:left="467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1" w:lineRule="exact"/>
        <w:rPr>
          <w:sz w:val="24"/>
          <w:szCs w:val="24"/>
          <w:color w:val="auto"/>
        </w:rPr>
      </w:pPr>
    </w:p>
    <w:p>
      <w:pPr>
        <w:ind w:left="4874"/>
        <w:spacing w:after="0"/>
        <w:rPr>
          <w:sz w:val="20"/>
          <w:szCs w:val="20"/>
          <w:color w:val="auto"/>
        </w:rPr>
      </w:pPr>
      <w:r>
        <w:rPr>
          <w:rFonts w:ascii="Times New Roman" w:cs="Times New Roman" w:eastAsia="Times New Roman" w:hAnsi="Times New Roman"/>
          <w:sz w:val="27"/>
          <w:szCs w:val="27"/>
          <w:b w:val="1"/>
          <w:bCs w:val="1"/>
          <w:color w:val="auto"/>
        </w:rPr>
        <w:t>FORM 11-K</w:t>
      </w:r>
    </w:p>
    <w:p>
      <w:pPr>
        <w:spacing w:after="0" w:line="263" w:lineRule="exact"/>
        <w:rPr>
          <w:sz w:val="24"/>
          <w:szCs w:val="24"/>
          <w:color w:val="auto"/>
        </w:rPr>
      </w:pPr>
    </w:p>
    <w:p>
      <w:pPr>
        <w:ind w:left="3654" w:right="380" w:hanging="3654"/>
        <w:spacing w:after="0" w:line="373" w:lineRule="auto"/>
        <w:tabs>
          <w:tab w:leader="none" w:pos="661"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color w:val="auto"/>
        </w:rPr>
        <w:t>ANNUAL REPORT PURSUANT TO SECTION 15(d) OF THE SECURITIES EXCHANGE ACT OF 1934 For the fiscal year ended December 31, 2025</w:t>
      </w:r>
    </w:p>
    <w:p>
      <w:pPr>
        <w:spacing w:after="0" w:line="23" w:lineRule="exact"/>
        <w:rPr>
          <w:rFonts w:ascii="Wingdings" w:cs="Wingdings" w:eastAsia="Wingdings" w:hAnsi="Wingdings"/>
          <w:sz w:val="22"/>
          <w:szCs w:val="22"/>
          <w:b w:val="1"/>
          <w:bCs w:val="1"/>
          <w:color w:val="auto"/>
        </w:rPr>
      </w:pPr>
    </w:p>
    <w:p>
      <w:pPr>
        <w:ind w:left="5454"/>
        <w:spacing w:after="0"/>
        <w:rPr>
          <w:rFonts w:ascii="Wingdings" w:cs="Wingdings" w:eastAsia="Wingdings" w:hAnsi="Wingdings"/>
          <w:sz w:val="22"/>
          <w:szCs w:val="22"/>
          <w:b w:val="1"/>
          <w:bCs w:val="1"/>
          <w:color w:val="auto"/>
        </w:rPr>
      </w:pPr>
      <w:r>
        <w:rPr>
          <w:rFonts w:ascii="Times New Roman" w:cs="Times New Roman" w:eastAsia="Times New Roman" w:hAnsi="Times New Roman"/>
          <w:sz w:val="22"/>
          <w:szCs w:val="22"/>
          <w:color w:val="auto"/>
        </w:rPr>
        <w:t>OR</w:t>
      </w:r>
    </w:p>
    <w:p>
      <w:pPr>
        <w:spacing w:after="0" w:line="233" w:lineRule="exact"/>
        <w:rPr>
          <w:sz w:val="24"/>
          <w:szCs w:val="24"/>
          <w:color w:val="auto"/>
        </w:rPr>
      </w:pPr>
    </w:p>
    <w:p>
      <w:pPr>
        <w:ind w:left="654" w:hanging="654"/>
        <w:spacing w:after="0"/>
        <w:tabs>
          <w:tab w:leader="none" w:pos="654"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15(d) OF THE SECURITIES EXCHANGE ACT OF 1934</w:t>
      </w:r>
    </w:p>
    <w:p>
      <w:pPr>
        <w:spacing w:after="0" w:line="136" w:lineRule="exact"/>
        <w:rPr>
          <w:rFonts w:ascii="MS PGothic" w:cs="MS PGothic" w:eastAsia="MS PGothic" w:hAnsi="MS PGothic"/>
          <w:sz w:val="21"/>
          <w:szCs w:val="21"/>
          <w:color w:val="auto"/>
        </w:rPr>
      </w:pPr>
    </w:p>
    <w:p>
      <w:pPr>
        <w:ind w:left="3394"/>
        <w:spacing w:after="0"/>
        <w:rPr>
          <w:rFonts w:ascii="MS PGothic" w:cs="MS PGothic" w:eastAsia="MS PGothic" w:hAnsi="MS PGothic"/>
          <w:sz w:val="21"/>
          <w:szCs w:val="21"/>
          <w:color w:val="auto"/>
        </w:rPr>
      </w:pPr>
      <w:r>
        <w:rPr>
          <w:rFonts w:ascii="Times New Roman" w:cs="Times New Roman" w:eastAsia="Times New Roman" w:hAnsi="Times New Roman"/>
          <w:sz w:val="22"/>
          <w:szCs w:val="22"/>
          <w:color w:val="auto"/>
        </w:rPr>
        <w:t>For the transition period from _______ to _______</w:t>
      </w:r>
    </w:p>
    <w:p>
      <w:pPr>
        <w:spacing w:after="0" w:line="200" w:lineRule="exact"/>
        <w:rPr>
          <w:sz w:val="24"/>
          <w:szCs w:val="24"/>
          <w:color w:val="auto"/>
        </w:rPr>
      </w:pPr>
    </w:p>
    <w:p>
      <w:pPr>
        <w:spacing w:after="0" w:line="340" w:lineRule="exact"/>
        <w:rPr>
          <w:sz w:val="24"/>
          <w:szCs w:val="24"/>
          <w:color w:val="auto"/>
        </w:rPr>
      </w:pPr>
    </w:p>
    <w:p>
      <w:pPr>
        <w:ind w:left="3974"/>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333-48402</w:t>
      </w:r>
    </w:p>
    <w:p>
      <w:pPr>
        <w:spacing w:after="0" w:line="332" w:lineRule="exact"/>
        <w:rPr>
          <w:sz w:val="24"/>
          <w:szCs w:val="24"/>
          <w:color w:val="auto"/>
        </w:rPr>
      </w:pPr>
    </w:p>
    <w:p>
      <w:pPr>
        <w:ind w:left="1274" w:hanging="644"/>
        <w:spacing w:after="0"/>
        <w:tabs>
          <w:tab w:leader="none" w:pos="127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title of the plan and the address of the plan, if different from that of the issuer named below:</w:t>
      </w:r>
    </w:p>
    <w:p>
      <w:pPr>
        <w:spacing w:after="0" w:line="215" w:lineRule="exact"/>
        <w:rPr>
          <w:rFonts w:ascii="Times New Roman" w:cs="Times New Roman" w:eastAsia="Times New Roman" w:hAnsi="Times New Roman"/>
          <w:sz w:val="22"/>
          <w:szCs w:val="22"/>
          <w:color w:val="auto"/>
        </w:rPr>
      </w:pPr>
    </w:p>
    <w:p>
      <w:pPr>
        <w:ind w:left="353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Lakeland Financial Corporation 401(k) Plan</w:t>
      </w:r>
    </w:p>
    <w:p>
      <w:pPr>
        <w:spacing w:after="0" w:line="237" w:lineRule="exact"/>
        <w:rPr>
          <w:rFonts w:ascii="Times New Roman" w:cs="Times New Roman" w:eastAsia="Times New Roman" w:hAnsi="Times New Roman"/>
          <w:sz w:val="22"/>
          <w:szCs w:val="22"/>
          <w:color w:val="auto"/>
        </w:rPr>
      </w:pPr>
    </w:p>
    <w:p>
      <w:pPr>
        <w:ind w:left="1274" w:hanging="644"/>
        <w:spacing w:after="0"/>
        <w:tabs>
          <w:tab w:leader="none" w:pos="127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of the securities held pursuant to the plan and the address of its principal executive office:</w:t>
      </w:r>
    </w:p>
    <w:p>
      <w:pPr>
        <w:spacing w:after="0" w:line="335" w:lineRule="exact"/>
        <w:rPr>
          <w:sz w:val="24"/>
          <w:szCs w:val="24"/>
          <w:color w:val="auto"/>
        </w:rPr>
      </w:pPr>
    </w:p>
    <w:p>
      <w:pPr>
        <w:jc w:val="center"/>
        <w:ind w:right="-713"/>
        <w:spacing w:after="0"/>
        <w:rPr>
          <w:sz w:val="20"/>
          <w:szCs w:val="20"/>
          <w:color w:val="auto"/>
        </w:rPr>
      </w:pPr>
      <w:r>
        <w:rPr>
          <w:rFonts w:ascii="Times New Roman" w:cs="Times New Roman" w:eastAsia="Times New Roman" w:hAnsi="Times New Roman"/>
          <w:sz w:val="22"/>
          <w:szCs w:val="22"/>
          <w:b w:val="1"/>
          <w:bCs w:val="1"/>
          <w:color w:val="auto"/>
        </w:rPr>
        <w:t>Lakeland Financial Corporation</w:t>
      </w:r>
    </w:p>
    <w:p>
      <w:pPr>
        <w:spacing w:after="0" w:line="32" w:lineRule="exact"/>
        <w:rPr>
          <w:sz w:val="24"/>
          <w:szCs w:val="24"/>
          <w:color w:val="auto"/>
        </w:rPr>
      </w:pPr>
    </w:p>
    <w:p>
      <w:pPr>
        <w:jc w:val="center"/>
        <w:ind w:right="-713"/>
        <w:spacing w:after="0"/>
        <w:rPr>
          <w:sz w:val="20"/>
          <w:szCs w:val="20"/>
          <w:color w:val="auto"/>
        </w:rPr>
      </w:pPr>
      <w:r>
        <w:rPr>
          <w:rFonts w:ascii="Times New Roman" w:cs="Times New Roman" w:eastAsia="Times New Roman" w:hAnsi="Times New Roman"/>
          <w:sz w:val="22"/>
          <w:szCs w:val="22"/>
          <w:b w:val="1"/>
          <w:bCs w:val="1"/>
          <w:color w:val="auto"/>
        </w:rPr>
        <w:t>202 East Center Street, P.O. Box 1387</w:t>
      </w:r>
    </w:p>
    <w:p>
      <w:pPr>
        <w:spacing w:after="0" w:line="4" w:lineRule="exact"/>
        <w:rPr>
          <w:sz w:val="24"/>
          <w:szCs w:val="24"/>
          <w:color w:val="auto"/>
        </w:rPr>
      </w:pPr>
    </w:p>
    <w:p>
      <w:pPr>
        <w:jc w:val="center"/>
        <w:ind w:right="-713"/>
        <w:spacing w:after="0"/>
        <w:rPr>
          <w:sz w:val="20"/>
          <w:szCs w:val="20"/>
          <w:color w:val="auto"/>
        </w:rPr>
      </w:pPr>
      <w:r>
        <w:rPr>
          <w:rFonts w:ascii="Times New Roman" w:cs="Times New Roman" w:eastAsia="Times New Roman" w:hAnsi="Times New Roman"/>
          <w:sz w:val="22"/>
          <w:szCs w:val="22"/>
          <w:b w:val="1"/>
          <w:bCs w:val="1"/>
          <w:color w:val="auto"/>
        </w:rPr>
        <w:t>Warsaw, Indiana 46581-1387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874395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4"/>
          </w:cols>
          <w:pgMar w:left="346" w:top="1440" w:right="1079" w:bottom="1440" w:gutter="0" w:footer="0" w:header="0"/>
        </w:sectPr>
      </w:pPr>
    </w:p>
    <w:bookmarkStart w:id="1" w:name="page2"/>
    <w:bookmarkEnd w:id="1"/>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REQUIRED INFORMATION</w:t>
      </w:r>
    </w:p>
    <w:p>
      <w:pPr>
        <w:spacing w:after="0" w:line="22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Audited statements of net assets available for benefits of the Lakeland Financial Corporation 401(k) Plan as of December 31, 2025 and 2024, and the related statement of changes in net assets available for benefits for the year ended December 31, 2025 are provided as Exhibit 99.1 to this Form 11-K.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2" w:name="page3"/>
    <w:bookmarkEnd w:id="2"/>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The Plan. </w:t>
      </w:r>
      <w:r>
        <w:rPr>
          <w:rFonts w:ascii="Times New Roman" w:cs="Times New Roman" w:eastAsia="Times New Roman" w:hAnsi="Times New Roman"/>
          <w:sz w:val="22"/>
          <w:szCs w:val="22"/>
          <w:color w:val="auto"/>
        </w:rPr>
        <w:t>Pursuant to the requirements of the Securities Exchange Act of 1934, the trustees (or other persons who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administer the employee benefit plan) have duly caused this annual report to be signed on its behalf by the undersigned hereunto duly authorized.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LAKELAND FINANCIAL CORPORATION 401(k) PLAN</w:t>
            </w:r>
          </w:p>
        </w:tc>
      </w:tr>
      <w:tr>
        <w:trPr>
          <w:trHeight w:val="580"/>
        </w:trPr>
        <w:tc>
          <w:tcPr>
            <w:tcW w:w="2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June 16, 2026</w:t>
            </w:r>
          </w:p>
        </w:tc>
        <w:tc>
          <w:tcPr>
            <w:tcW w:w="1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Lakeland Financial Corporation,as Trustee to the Plan</w:t>
            </w:r>
          </w:p>
        </w:tc>
      </w:tr>
      <w:tr>
        <w:trPr>
          <w:trHeight w:val="581"/>
        </w:trPr>
        <w:tc>
          <w:tcPr>
            <w:tcW w:w="2880" w:type="dxa"/>
            <w:vAlign w:val="bottom"/>
          </w:tcPr>
          <w:p>
            <w:pPr>
              <w:spacing w:after="0"/>
              <w:rPr>
                <w:sz w:val="24"/>
                <w:szCs w:val="24"/>
                <w:color w:val="auto"/>
              </w:rPr>
            </w:pPr>
          </w:p>
        </w:tc>
        <w:tc>
          <w:tcPr>
            <w:tcW w:w="1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 Kyra E. Clark</w:t>
            </w:r>
          </w:p>
        </w:tc>
      </w:tr>
      <w:tr>
        <w:trPr>
          <w:trHeight w:val="285"/>
        </w:trPr>
        <w:tc>
          <w:tcPr>
            <w:tcW w:w="2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Kyra E. Clark</w:t>
            </w:r>
          </w:p>
        </w:tc>
      </w:tr>
      <w:tr>
        <w:trPr>
          <w:trHeight w:val="257"/>
        </w:trPr>
        <w:tc>
          <w:tcPr>
            <w:tcW w:w="2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Senior Vice President, Chief Human Resources Officer Director and Plan</w:t>
            </w:r>
          </w:p>
        </w:tc>
      </w:tr>
      <w:tr>
        <w:trPr>
          <w:trHeight w:val="282"/>
        </w:trPr>
        <w:tc>
          <w:tcPr>
            <w:tcW w:w="2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Administrator</w:t>
            </w:r>
          </w:p>
        </w:tc>
      </w:tr>
      <w:tr>
        <w:trPr>
          <w:trHeight w:val="1520"/>
        </w:trPr>
        <w:tc>
          <w:tcPr>
            <w:tcW w:w="2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LAKELAND FINANCIAL CORPORATION 401(k)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80" w:type="dxa"/>
            <w:vAlign w:val="bottom"/>
          </w:tcPr>
          <w:p>
            <w:pPr>
              <w:spacing w:after="0"/>
              <w:rPr>
                <w:sz w:val="22"/>
                <w:szCs w:val="22"/>
                <w:color w:val="auto"/>
              </w:rPr>
            </w:pPr>
          </w:p>
        </w:tc>
        <w:tc>
          <w:tcPr>
            <w:tcW w:w="6620" w:type="dxa"/>
            <w:vAlign w:val="bottom"/>
          </w:tcPr>
          <w:p>
            <w:pPr>
              <w:jc w:val="center"/>
              <w:ind w:left="2152"/>
              <w:spacing w:after="0"/>
              <w:rPr>
                <w:sz w:val="20"/>
                <w:szCs w:val="20"/>
                <w:color w:val="auto"/>
              </w:rPr>
            </w:pPr>
            <w:r>
              <w:rPr>
                <w:rFonts w:ascii="Times New Roman" w:cs="Times New Roman" w:eastAsia="Times New Roman" w:hAnsi="Times New Roman"/>
                <w:sz w:val="22"/>
                <w:szCs w:val="22"/>
                <w:b w:val="1"/>
                <w:bCs w:val="1"/>
                <w:color w:val="auto"/>
                <w:w w:val="98"/>
              </w:rPr>
              <w:t>EXHIBIT INDEX</w:t>
            </w:r>
          </w:p>
        </w:tc>
        <w:tc>
          <w:tcPr>
            <w:tcW w:w="3420" w:type="dxa"/>
            <w:vAlign w:val="bottom"/>
          </w:tcPr>
          <w:p>
            <w:pPr>
              <w:spacing w:after="0"/>
              <w:rPr>
                <w:sz w:val="22"/>
                <w:szCs w:val="22"/>
                <w:color w:val="auto"/>
              </w:rPr>
            </w:pPr>
          </w:p>
        </w:tc>
      </w:tr>
      <w:tr>
        <w:trPr>
          <w:trHeight w:val="256"/>
        </w:trPr>
        <w:tc>
          <w:tcPr>
            <w:tcW w:w="1180" w:type="dxa"/>
            <w:vAlign w:val="bottom"/>
          </w:tcPr>
          <w:p>
            <w:pPr>
              <w:spacing w:after="0"/>
              <w:rPr>
                <w:sz w:val="22"/>
                <w:szCs w:val="22"/>
                <w:color w:val="auto"/>
              </w:rPr>
            </w:pPr>
          </w:p>
        </w:tc>
        <w:tc>
          <w:tcPr>
            <w:tcW w:w="6620" w:type="dxa"/>
            <w:vAlign w:val="bottom"/>
          </w:tcPr>
          <w:p>
            <w:pPr>
              <w:jc w:val="center"/>
              <w:ind w:left="2152"/>
              <w:spacing w:after="0"/>
              <w:rPr>
                <w:sz w:val="20"/>
                <w:szCs w:val="20"/>
                <w:color w:val="auto"/>
              </w:rPr>
            </w:pPr>
            <w:r>
              <w:rPr>
                <w:rFonts w:ascii="Times New Roman" w:cs="Times New Roman" w:eastAsia="Times New Roman" w:hAnsi="Times New Roman"/>
                <w:sz w:val="22"/>
                <w:szCs w:val="22"/>
                <w:b w:val="1"/>
                <w:bCs w:val="1"/>
                <w:color w:val="auto"/>
              </w:rPr>
              <w:t>TO</w:t>
            </w:r>
          </w:p>
        </w:tc>
        <w:tc>
          <w:tcPr>
            <w:tcW w:w="3420" w:type="dxa"/>
            <w:vAlign w:val="bottom"/>
          </w:tcPr>
          <w:p>
            <w:pPr>
              <w:spacing w:after="0"/>
              <w:rPr>
                <w:sz w:val="22"/>
                <w:szCs w:val="22"/>
                <w:color w:val="auto"/>
              </w:rPr>
            </w:pPr>
          </w:p>
        </w:tc>
      </w:tr>
      <w:tr>
        <w:trPr>
          <w:trHeight w:val="286"/>
        </w:trPr>
        <w:tc>
          <w:tcPr>
            <w:tcW w:w="1180" w:type="dxa"/>
            <w:vAlign w:val="bottom"/>
          </w:tcPr>
          <w:p>
            <w:pPr>
              <w:spacing w:after="0"/>
              <w:rPr>
                <w:sz w:val="24"/>
                <w:szCs w:val="24"/>
                <w:color w:val="auto"/>
              </w:rPr>
            </w:pPr>
          </w:p>
        </w:tc>
        <w:tc>
          <w:tcPr>
            <w:tcW w:w="6620" w:type="dxa"/>
            <w:vAlign w:val="bottom"/>
          </w:tcPr>
          <w:p>
            <w:pPr>
              <w:jc w:val="center"/>
              <w:ind w:left="2172"/>
              <w:spacing w:after="0"/>
              <w:rPr>
                <w:sz w:val="20"/>
                <w:szCs w:val="20"/>
                <w:color w:val="auto"/>
              </w:rPr>
            </w:pPr>
            <w:r>
              <w:rPr>
                <w:rFonts w:ascii="Times New Roman" w:cs="Times New Roman" w:eastAsia="Times New Roman" w:hAnsi="Times New Roman"/>
                <w:sz w:val="22"/>
                <w:szCs w:val="22"/>
                <w:b w:val="1"/>
                <w:bCs w:val="1"/>
                <w:color w:val="auto"/>
                <w:w w:val="97"/>
              </w:rPr>
              <w:t>ANNUAL REPORT ON FORM 11-K</w:t>
            </w:r>
          </w:p>
        </w:tc>
        <w:tc>
          <w:tcPr>
            <w:tcW w:w="3420" w:type="dxa"/>
            <w:vAlign w:val="bottom"/>
          </w:tcPr>
          <w:p>
            <w:pPr>
              <w:spacing w:after="0"/>
              <w:rPr>
                <w:sz w:val="24"/>
                <w:szCs w:val="24"/>
                <w:color w:val="auto"/>
              </w:rPr>
            </w:pPr>
          </w:p>
        </w:tc>
      </w:tr>
      <w:tr>
        <w:trPr>
          <w:trHeight w:val="447"/>
        </w:trPr>
        <w:tc>
          <w:tcPr>
            <w:tcW w:w="11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20" w:type="dxa"/>
            <w:vAlign w:val="bottom"/>
          </w:tcPr>
          <w:p>
            <w:pPr>
              <w:jc w:val="center"/>
              <w:ind w:right="1512"/>
              <w:spacing w:after="0"/>
              <w:rPr>
                <w:sz w:val="20"/>
                <w:szCs w:val="20"/>
                <w:color w:val="auto"/>
              </w:rPr>
            </w:pPr>
            <w:r>
              <w:rPr>
                <w:rFonts w:ascii="Times New Roman" w:cs="Times New Roman" w:eastAsia="Times New Roman" w:hAnsi="Times New Roman"/>
                <w:sz w:val="22"/>
                <w:szCs w:val="22"/>
                <w:color w:val="auto"/>
                <w:w w:val="98"/>
              </w:rPr>
              <w:t>Sequential</w:t>
            </w:r>
          </w:p>
        </w:tc>
      </w:tr>
      <w:tr>
        <w:trPr>
          <w:trHeight w:val="337"/>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Exhibit No.</w:t>
            </w:r>
          </w:p>
        </w:tc>
        <w:tc>
          <w:tcPr>
            <w:tcW w:w="662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22"/>
                <w:szCs w:val="22"/>
                <w:color w:val="auto"/>
              </w:rPr>
              <w:t>Description</w:t>
            </w:r>
          </w:p>
        </w:tc>
        <w:tc>
          <w:tcPr>
            <w:tcW w:w="3420" w:type="dxa"/>
            <w:vAlign w:val="bottom"/>
            <w:tcBorders>
              <w:bottom w:val="single" w:sz="8" w:color="auto"/>
            </w:tcBorders>
          </w:tcPr>
          <w:p>
            <w:pPr>
              <w:jc w:val="center"/>
              <w:ind w:right="1512"/>
              <w:spacing w:after="0"/>
              <w:rPr>
                <w:sz w:val="20"/>
                <w:szCs w:val="20"/>
                <w:color w:val="auto"/>
              </w:rPr>
            </w:pPr>
            <w:r>
              <w:rPr>
                <w:rFonts w:ascii="Times New Roman" w:cs="Times New Roman" w:eastAsia="Times New Roman" w:hAnsi="Times New Roman"/>
                <w:sz w:val="22"/>
                <w:szCs w:val="22"/>
                <w:color w:val="auto"/>
                <w:w w:val="99"/>
              </w:rPr>
              <w:t>Page No.</w:t>
            </w:r>
          </w:p>
        </w:tc>
      </w:tr>
      <w:tr>
        <w:trPr>
          <w:trHeight w:val="250"/>
        </w:trPr>
        <w:tc>
          <w:tcPr>
            <w:tcW w:w="118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8"/>
              </w:rPr>
              <w:t>23.1</w:t>
            </w:r>
          </w:p>
        </w:tc>
        <w:tc>
          <w:tcPr>
            <w:tcW w:w="6620" w:type="dxa"/>
            <w:vAlign w:val="bottom"/>
          </w:tcPr>
          <w:p>
            <w:pPr>
              <w:ind w:left="60"/>
              <w:spacing w:after="0" w:line="250" w:lineRule="exact"/>
              <w:rPr>
                <w:sz w:val="20"/>
                <w:szCs w:val="20"/>
                <w:color w:val="auto"/>
              </w:rPr>
            </w:pPr>
            <w:r>
              <w:rPr>
                <w:rFonts w:ascii="Times New Roman" w:cs="Times New Roman" w:eastAsia="Times New Roman" w:hAnsi="Times New Roman"/>
                <w:sz w:val="22"/>
                <w:szCs w:val="22"/>
                <w:color w:val="auto"/>
              </w:rPr>
              <w:t>Consent of Crowe LLP</w:t>
            </w:r>
          </w:p>
        </w:tc>
        <w:tc>
          <w:tcPr>
            <w:tcW w:w="3420" w:type="dxa"/>
            <w:vAlign w:val="bottom"/>
          </w:tcPr>
          <w:p>
            <w:pPr>
              <w:jc w:val="center"/>
              <w:ind w:right="1512"/>
              <w:spacing w:after="0" w:line="250" w:lineRule="exact"/>
              <w:rPr>
                <w:sz w:val="20"/>
                <w:szCs w:val="20"/>
                <w:color w:val="auto"/>
              </w:rPr>
            </w:pPr>
            <w:r>
              <w:rPr>
                <w:rFonts w:ascii="Times New Roman" w:cs="Times New Roman" w:eastAsia="Times New Roman" w:hAnsi="Times New Roman"/>
                <w:sz w:val="22"/>
                <w:szCs w:val="22"/>
                <w:color w:val="auto"/>
              </w:rPr>
              <w:t>5</w:t>
            </w:r>
          </w:p>
        </w:tc>
      </w:tr>
      <w:tr>
        <w:trPr>
          <w:trHeight w:val="282"/>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99.1</w:t>
            </w:r>
          </w:p>
        </w:tc>
        <w:tc>
          <w:tcPr>
            <w:tcW w:w="6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Financial Statements</w:t>
            </w:r>
          </w:p>
        </w:tc>
        <w:tc>
          <w:tcPr>
            <w:tcW w:w="3420" w:type="dxa"/>
            <w:vAlign w:val="bottom"/>
          </w:tcPr>
          <w:p>
            <w:pPr>
              <w:jc w:val="center"/>
              <w:ind w:right="1512"/>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20"/>
          </w:cols>
          <w:pgMar w:left="320" w:top="1440"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this Registration Statement (No. 333-48402) on Form S-8 of Lakeland Financial Corporation of our report dated June 16, 2026 appearing in this Annual Report on Form 11-K of Lakeland Financial Corporation 401(k)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Crowe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Oakbrook Terrace,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16, 2026</w:t>
      </w:r>
    </w:p>
    <w:p>
      <w:pPr>
        <w:sectPr>
          <w:pgSz w:w="11900" w:h="16838" w:orient="portrait"/>
          <w:cols w:equalWidth="0" w:num="1">
            <w:col w:w="11240"/>
          </w:cols>
          <w:pgMar w:left="320" w:top="89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LAKELAND FINANCIAL CORPORATION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401(K)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1039495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ind w:left="3420"/>
        <w:spacing w:after="0"/>
        <w:rPr>
          <w:sz w:val="20"/>
          <w:szCs w:val="20"/>
          <w:color w:val="auto"/>
        </w:rPr>
      </w:pPr>
      <w:r>
        <w:rPr>
          <w:rFonts w:ascii="Arial" w:cs="Arial" w:eastAsia="Arial" w:hAnsi="Arial"/>
          <w:sz w:val="18"/>
          <w:szCs w:val="18"/>
          <w:color w:val="auto"/>
        </w:rPr>
        <w:t>LAKELAND FINANCIAL CORPORATION 401(K) PLAN</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Warsaw, Indiana</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0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80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440" w:type="dxa"/>
            <w:vAlign w:val="bottom"/>
          </w:tcPr>
          <w:p>
            <w:pPr>
              <w:spacing w:after="0"/>
              <w:rPr>
                <w:sz w:val="22"/>
                <w:szCs w:val="22"/>
                <w:color w:val="auto"/>
              </w:rPr>
            </w:pPr>
          </w:p>
        </w:tc>
      </w:tr>
      <w:tr>
        <w:trPr>
          <w:trHeight w:val="270"/>
        </w:trPr>
        <w:tc>
          <w:tcPr>
            <w:tcW w:w="8800" w:type="dxa"/>
            <w:vAlign w:val="bottom"/>
          </w:tcPr>
          <w:p>
            <w:pPr>
              <w:ind w:left="360"/>
              <w:spacing w:after="0"/>
              <w:rPr>
                <w:sz w:val="20"/>
                <w:szCs w:val="20"/>
                <w:color w:val="auto"/>
              </w:rPr>
            </w:pPr>
            <w:r>
              <w:rPr>
                <w:rFonts w:ascii="Arial" w:cs="Arial" w:eastAsia="Arial" w:hAnsi="Arial"/>
                <w:sz w:val="18"/>
                <w:szCs w:val="18"/>
                <w:color w:val="auto"/>
              </w:rPr>
              <w:t>STATEMENTS OF NET ASSETS AVAILABLE FOR BENEFITS</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800" w:type="dxa"/>
            <w:vAlign w:val="bottom"/>
          </w:tcPr>
          <w:p>
            <w:pPr>
              <w:ind w:left="360"/>
              <w:spacing w:after="0"/>
              <w:rPr>
                <w:sz w:val="20"/>
                <w:szCs w:val="20"/>
                <w:color w:val="auto"/>
              </w:rPr>
            </w:pPr>
            <w:r>
              <w:rPr>
                <w:rFonts w:ascii="Arial" w:cs="Arial" w:eastAsia="Arial" w:hAnsi="Arial"/>
                <w:sz w:val="18"/>
                <w:szCs w:val="18"/>
                <w:color w:val="auto"/>
              </w:rPr>
              <w:t>STATEMENT OF CHANGES IN NET ASSETS AVAILABLE FOR BENEFITS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800" w:type="dxa"/>
            <w:vAlign w:val="bottom"/>
          </w:tcPr>
          <w:p>
            <w:pPr>
              <w:ind w:left="360"/>
              <w:spacing w:after="0"/>
              <w:rPr>
                <w:sz w:val="20"/>
                <w:szCs w:val="20"/>
                <w:color w:val="auto"/>
              </w:rPr>
            </w:pPr>
            <w:r>
              <w:rPr>
                <w:rFonts w:ascii="Arial" w:cs="Arial" w:eastAsia="Arial" w:hAnsi="Arial"/>
                <w:sz w:val="18"/>
                <w:szCs w:val="18"/>
                <w:color w:val="auto"/>
              </w:rPr>
              <w:t>NOTES TO FINANCIAL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621"/>
        </w:trPr>
        <w:tc>
          <w:tcPr>
            <w:tcW w:w="8800" w:type="dxa"/>
            <w:vAlign w:val="bottom"/>
          </w:tcPr>
          <w:p>
            <w:pPr>
              <w:ind w:left="20"/>
              <w:spacing w:after="0"/>
              <w:rPr>
                <w:sz w:val="20"/>
                <w:szCs w:val="20"/>
                <w:color w:val="auto"/>
              </w:rPr>
            </w:pPr>
            <w:r>
              <w:rPr>
                <w:rFonts w:ascii="Arial" w:cs="Arial" w:eastAsia="Arial" w:hAnsi="Arial"/>
                <w:sz w:val="18"/>
                <w:szCs w:val="18"/>
                <w:color w:val="auto"/>
              </w:rPr>
              <w:t>SUPPLEMENTAL SCHEDULE</w:t>
            </w:r>
          </w:p>
        </w:tc>
        <w:tc>
          <w:tcPr>
            <w:tcW w:w="2440" w:type="dxa"/>
            <w:vAlign w:val="bottom"/>
          </w:tcPr>
          <w:p>
            <w:pPr>
              <w:spacing w:after="0"/>
              <w:rPr>
                <w:sz w:val="24"/>
                <w:szCs w:val="24"/>
                <w:color w:val="auto"/>
              </w:rPr>
            </w:pPr>
          </w:p>
        </w:tc>
      </w:tr>
      <w:tr>
        <w:trPr>
          <w:trHeight w:val="270"/>
        </w:trPr>
        <w:tc>
          <w:tcPr>
            <w:tcW w:w="8800" w:type="dxa"/>
            <w:vAlign w:val="bottom"/>
          </w:tcPr>
          <w:p>
            <w:pPr>
              <w:ind w:left="360"/>
              <w:spacing w:after="0"/>
              <w:rPr>
                <w:sz w:val="20"/>
                <w:szCs w:val="20"/>
                <w:color w:val="auto"/>
              </w:rPr>
            </w:pPr>
            <w:r>
              <w:rPr>
                <w:rFonts w:ascii="Arial" w:cs="Arial" w:eastAsia="Arial" w:hAnsi="Arial"/>
                <w:sz w:val="18"/>
                <w:szCs w:val="18"/>
                <w:color w:val="auto"/>
              </w:rPr>
              <w:t>SCHEDULE H, LINE 4i - SCHEDULE OF ASSETS (HELD AT END OF YEAR)</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772"/>
        </w:trPr>
        <w:tc>
          <w:tcPr>
            <w:tcW w:w="8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 w:name="page8"/>
    <w:bookmarkEnd w:id="7"/>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401(k) Plan Committee, Plan Participants and Plan Administrators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Lakeland Financial Corporation 401(k) Plan</w:t>
      </w:r>
    </w:p>
    <w:p>
      <w:pPr>
        <w:spacing w:after="0"/>
        <w:rPr>
          <w:sz w:val="20"/>
          <w:szCs w:val="20"/>
          <w:color w:val="auto"/>
        </w:rPr>
      </w:pPr>
      <w:r>
        <w:rPr>
          <w:rFonts w:ascii="Arial" w:cs="Arial" w:eastAsia="Arial" w:hAnsi="Arial"/>
          <w:sz w:val="18"/>
          <w:szCs w:val="18"/>
          <w:color w:val="auto"/>
        </w:rPr>
        <w:t>Warsaw, Indiana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statements of net assets available for benefits of Lakeland Financial Corporation 401(k) Plan (the "Plan")</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of December 31, 2025 and 2024, the related statement of changes in net assets available for benefits for the year ended December 31, 2025, and the related notes (collectively referred to as the "financial statements"). In our opinion, the financial statements present fairly, in all</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supplemental Schedule H, Line 4i – Schedule of Assets (Held at End of Year) as of December 31, 2025 has been subjected to audit procedures performed in conjunction with the audit of Lakeland Financial Corporation 401(k) Plan’s financial statements. The supplemental schedule is the responsibility of the Plan’s management. Our audit procedures included determining whether the information presented in the supplemental schedule reconciles to the financial statements or the underlying accounting and other records, as applicable, and performing procedures to test the completeness and accuracy of the information presented in the supplemental schedule. In forming our opinion on the</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supplemental schedule, we evaluated whether the supplemental schedule, including its form and content, is presented in conformity with the Department of Labor’s Rules and Regulations for Reporting and Disclosure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Employee Retirement Income Security Act of 1974. In our opinion, the supplemental schedule is fairly stated in all material respects in relation to the financial statements as a whole.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Crowe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1983.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Oakbrook Terrace,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LAKELAND FINANCIAL CORPORATION 401(K)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r>
      <w:tr>
        <w:trPr>
          <w:trHeight w:val="257"/>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7"/>
        </w:trPr>
        <w:tc>
          <w:tcPr>
            <w:tcW w:w="750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127,190,507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121,252,135</w:t>
            </w:r>
          </w:p>
        </w:tc>
      </w:tr>
      <w:tr>
        <w:trPr>
          <w:trHeight w:val="23"/>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7"/>
        </w:trPr>
        <w:tc>
          <w:tcPr>
            <w:tcW w:w="7500" w:type="dxa"/>
            <w:vAlign w:val="bottom"/>
          </w:tcPr>
          <w:p>
            <w:pPr>
              <w:ind w:left="360"/>
              <w:spacing w:after="0"/>
              <w:rPr>
                <w:sz w:val="20"/>
                <w:szCs w:val="20"/>
                <w:color w:val="auto"/>
              </w:rPr>
            </w:pPr>
            <w:r>
              <w:rPr>
                <w:rFonts w:ascii="Arial" w:cs="Arial" w:eastAsia="Arial" w:hAnsi="Arial"/>
                <w:sz w:val="18"/>
                <w:szCs w:val="18"/>
                <w:color w:val="auto"/>
              </w:rPr>
              <w:t>Employer contributions receivable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1,606,502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1,308,015</w:t>
            </w:r>
          </w:p>
        </w:tc>
      </w:tr>
      <w:tr>
        <w:trPr>
          <w:trHeight w:val="23"/>
        </w:trPr>
        <w:tc>
          <w:tcPr>
            <w:tcW w:w="7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69"/>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128,797,009</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122,560,150</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580"/>
        <w:spacing w:after="0" w:line="268" w:lineRule="auto"/>
        <w:rPr>
          <w:sz w:val="20"/>
          <w:szCs w:val="20"/>
          <w:color w:val="auto"/>
        </w:rPr>
      </w:pPr>
      <w:r>
        <w:rPr>
          <w:rFonts w:ascii="Arial" w:cs="Arial" w:eastAsia="Arial" w:hAnsi="Arial"/>
          <w:sz w:val="18"/>
          <w:szCs w:val="18"/>
          <w:color w:val="auto"/>
        </w:rPr>
        <w:t>LAKELAND FINANCIAL CORPORATION 401(K) PLAN STATEMENT OF CHANGES IN NET ASSETS AVAILABLE FOR BENEFITS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788670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Investment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and dividends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5,628,948</w:t>
            </w:r>
          </w:p>
        </w:tc>
      </w:tr>
      <w:tr>
        <w:trPr>
          <w:trHeight w:val="247"/>
        </w:trPr>
        <w:tc>
          <w:tcPr>
            <w:tcW w:w="9420" w:type="dxa"/>
            <w:vAlign w:val="bottom"/>
          </w:tcPr>
          <w:p>
            <w:pPr>
              <w:ind w:left="720"/>
              <w:spacing w:after="0"/>
              <w:rPr>
                <w:sz w:val="20"/>
                <w:szCs w:val="20"/>
                <w:color w:val="auto"/>
              </w:rPr>
            </w:pPr>
            <w:r>
              <w:rPr>
                <w:rFonts w:ascii="Arial" w:cs="Arial" w:eastAsia="Arial" w:hAnsi="Arial"/>
                <w:sz w:val="18"/>
                <w:szCs w:val="18"/>
                <w:color w:val="auto"/>
              </w:rPr>
              <w:t>Net appreciation in fair value of investments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3,572,432</w:t>
            </w:r>
          </w:p>
        </w:tc>
      </w:tr>
      <w:tr>
        <w:trPr>
          <w:trHeight w:val="23"/>
        </w:trPr>
        <w:tc>
          <w:tcPr>
            <w:tcW w:w="9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investment income</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9,201,380</w:t>
            </w:r>
          </w:p>
        </w:tc>
      </w:tr>
      <w:tr>
        <w:trPr>
          <w:trHeight w:val="236"/>
        </w:trPr>
        <w:tc>
          <w:tcPr>
            <w:tcW w:w="94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50"/>
        </w:trPr>
        <w:tc>
          <w:tcPr>
            <w:tcW w:w="9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Contributions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7"/>
        </w:trPr>
        <w:tc>
          <w:tcPr>
            <w:tcW w:w="9420" w:type="dxa"/>
            <w:vAlign w:val="bottom"/>
          </w:tcPr>
          <w:p>
            <w:pPr>
              <w:ind w:left="720"/>
              <w:spacing w:after="0"/>
              <w:rPr>
                <w:sz w:val="20"/>
                <w:szCs w:val="20"/>
                <w:color w:val="auto"/>
              </w:rPr>
            </w:pPr>
            <w:r>
              <w:rPr>
                <w:rFonts w:ascii="Arial" w:cs="Arial" w:eastAsia="Arial" w:hAnsi="Arial"/>
                <w:sz w:val="18"/>
                <w:szCs w:val="18"/>
                <w:color w:val="auto"/>
              </w:rPr>
              <w:t>Employer</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2,890,777</w:t>
            </w:r>
          </w:p>
        </w:tc>
      </w:tr>
      <w:tr>
        <w:trPr>
          <w:trHeight w:val="23"/>
        </w:trPr>
        <w:tc>
          <w:tcPr>
            <w:tcW w:w="9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Participants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4,019,985</w:t>
            </w:r>
          </w:p>
        </w:tc>
      </w:tr>
      <w:tr>
        <w:trPr>
          <w:trHeight w:val="247"/>
        </w:trPr>
        <w:tc>
          <w:tcPr>
            <w:tcW w:w="9420" w:type="dxa"/>
            <w:vAlign w:val="bottom"/>
          </w:tcPr>
          <w:p>
            <w:pPr>
              <w:ind w:left="720"/>
              <w:spacing w:after="0"/>
              <w:rPr>
                <w:sz w:val="20"/>
                <w:szCs w:val="20"/>
                <w:color w:val="auto"/>
              </w:rPr>
            </w:pPr>
            <w:r>
              <w:rPr>
                <w:rFonts w:ascii="Arial" w:cs="Arial" w:eastAsia="Arial" w:hAnsi="Arial"/>
                <w:sz w:val="18"/>
                <w:szCs w:val="18"/>
                <w:color w:val="auto"/>
              </w:rPr>
              <w:t>Rollover</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428,884</w:t>
            </w:r>
          </w:p>
        </w:tc>
      </w:tr>
      <w:tr>
        <w:trPr>
          <w:trHeight w:val="23"/>
        </w:trPr>
        <w:tc>
          <w:tcPr>
            <w:tcW w:w="9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contributions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7,339,646</w:t>
            </w:r>
          </w:p>
        </w:tc>
      </w:tr>
      <w:tr>
        <w:trPr>
          <w:trHeight w:val="250"/>
        </w:trPr>
        <w:tc>
          <w:tcPr>
            <w:tcW w:w="94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0"/>
        </w:trPr>
        <w:tc>
          <w:tcPr>
            <w:tcW w:w="9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additions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16,541,026</w:t>
            </w:r>
          </w:p>
        </w:tc>
      </w:tr>
      <w:tr>
        <w:trPr>
          <w:trHeight w:val="250"/>
        </w:trPr>
        <w:tc>
          <w:tcPr>
            <w:tcW w:w="94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0"/>
        </w:trPr>
        <w:tc>
          <w:tcPr>
            <w:tcW w:w="9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Deductions from net assets attributed to:</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7"/>
        </w:trPr>
        <w:tc>
          <w:tcPr>
            <w:tcW w:w="9420" w:type="dxa"/>
            <w:vAlign w:val="bottom"/>
          </w:tcPr>
          <w:p>
            <w:pPr>
              <w:ind w:left="400"/>
              <w:spacing w:after="0"/>
              <w:rPr>
                <w:sz w:val="20"/>
                <w:szCs w:val="20"/>
                <w:color w:val="auto"/>
              </w:rPr>
            </w:pPr>
            <w:r>
              <w:rPr>
                <w:rFonts w:ascii="Arial" w:cs="Arial" w:eastAsia="Arial" w:hAnsi="Arial"/>
                <w:sz w:val="18"/>
                <w:szCs w:val="18"/>
                <w:color w:val="auto"/>
              </w:rPr>
              <w:t>Benefits paid directly to participants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10,302,698</w:t>
            </w:r>
          </w:p>
        </w:tc>
      </w:tr>
      <w:tr>
        <w:trPr>
          <w:trHeight w:val="23"/>
        </w:trPr>
        <w:tc>
          <w:tcPr>
            <w:tcW w:w="9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Administrative expenses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40"/>
        </w:trPr>
        <w:tc>
          <w:tcPr>
            <w:tcW w:w="9420" w:type="dxa"/>
            <w:vAlign w:val="bottom"/>
          </w:tcPr>
          <w:p>
            <w:pPr>
              <w:ind w:left="1040"/>
              <w:spacing w:after="0"/>
              <w:rPr>
                <w:sz w:val="20"/>
                <w:szCs w:val="20"/>
                <w:color w:val="auto"/>
              </w:rPr>
            </w:pPr>
            <w:r>
              <w:rPr>
                <w:rFonts w:ascii="Arial" w:cs="Arial" w:eastAsia="Arial" w:hAnsi="Arial"/>
                <w:sz w:val="18"/>
                <w:szCs w:val="18"/>
                <w:color w:val="auto"/>
              </w:rPr>
              <w:t>Total deductions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10,304,167</w:t>
            </w:r>
          </w:p>
        </w:tc>
      </w:tr>
      <w:tr>
        <w:trPr>
          <w:trHeight w:val="23"/>
        </w:trPr>
        <w:tc>
          <w:tcPr>
            <w:tcW w:w="9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3"/>
        </w:trPr>
        <w:tc>
          <w:tcPr>
            <w:tcW w:w="9420" w:type="dxa"/>
            <w:vAlign w:val="bottom"/>
          </w:tcPr>
          <w:p>
            <w:pPr>
              <w:ind w:left="80"/>
              <w:spacing w:after="0"/>
              <w:rPr>
                <w:sz w:val="20"/>
                <w:szCs w:val="20"/>
                <w:color w:val="auto"/>
              </w:rPr>
            </w:pPr>
            <w:r>
              <w:rPr>
                <w:rFonts w:ascii="Arial" w:cs="Arial" w:eastAsia="Arial" w:hAnsi="Arial"/>
                <w:sz w:val="18"/>
                <w:szCs w:val="18"/>
                <w:b w:val="1"/>
                <w:bCs w:val="1"/>
                <w:color w:val="auto"/>
              </w:rPr>
              <w:t>Net increase</w:t>
            </w:r>
          </w:p>
        </w:tc>
        <w:tc>
          <w:tcPr>
            <w:tcW w:w="4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6,236,859</w:t>
            </w:r>
          </w:p>
        </w:tc>
      </w:tr>
      <w:tr>
        <w:trPr>
          <w:trHeight w:val="278"/>
        </w:trPr>
        <w:tc>
          <w:tcPr>
            <w:tcW w:w="94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2"/>
        </w:trPr>
        <w:tc>
          <w:tcPr>
            <w:tcW w:w="9420" w:type="dxa"/>
            <w:vAlign w:val="bottom"/>
          </w:tcPr>
          <w:p>
            <w:pPr>
              <w:ind w:left="80"/>
              <w:spacing w:after="0"/>
              <w:rPr>
                <w:sz w:val="20"/>
                <w:szCs w:val="20"/>
                <w:color w:val="auto"/>
              </w:rPr>
            </w:pPr>
            <w:r>
              <w:rPr>
                <w:rFonts w:ascii="Arial" w:cs="Arial" w:eastAsia="Arial" w:hAnsi="Arial"/>
                <w:sz w:val="18"/>
                <w:szCs w:val="18"/>
                <w:b w:val="1"/>
                <w:bCs w:val="1"/>
                <w:color w:val="auto"/>
              </w:rPr>
              <w:t>Net assets available for benefits</w:t>
            </w: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1"/>
        </w:trPr>
        <w:tc>
          <w:tcPr>
            <w:tcW w:w="9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Beginning of year</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122,560,150</w:t>
            </w:r>
          </w:p>
        </w:tc>
      </w:tr>
      <w:tr>
        <w:trPr>
          <w:trHeight w:val="257"/>
        </w:trPr>
        <w:tc>
          <w:tcPr>
            <w:tcW w:w="9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95"/>
        </w:trPr>
        <w:tc>
          <w:tcPr>
            <w:tcW w:w="9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End of year</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128,797,009</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LAKELAND FINANCIAL CORPORATION 401(K)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 of the Lakeland Financial Corporation 401(k) Plan (the “Plan”) is provided for general information purposes only.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agreement for a more complete description of the Plan’s provisions.</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Plan is a defined contribution 401(k) profit sharing plan covering substantially all employees of Lakeland Financial Corporation (“LFC”) and its subsidiary, Lake City Bank (collectively, “employer”). An employee becomes eligible to enter the Plan on January 1, April 1, July 1, and October 1 following attainment of age 18 and completion of one month of service.</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Plan was originally adopted December 13, 1983 and has been amended and restated. Participants should refer to the amended and restated Plan agreement for a more complete description of the Plan’s provisions. The Plan provides for retirement, death, disability and termination benefits, and it is subject to the provisions of the Employee Retirement Income Security Act of 1974 (ERISA).</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Investment Funds</w:t>
      </w:r>
      <w:r>
        <w:rPr>
          <w:rFonts w:ascii="Arial" w:cs="Arial" w:eastAsia="Arial" w:hAnsi="Arial"/>
          <w:sz w:val="18"/>
          <w:szCs w:val="18"/>
          <w:color w:val="auto"/>
        </w:rPr>
        <w:t>: Investment elections available through the Plan consist of 32 funds, one of which is LFC common stock. Fourteen of the funds are "Fidelity Freedom Fund Class K6" funds that are targeted retirement funds consisting of blends of equities and fixed income securities. The "Artisan Mid Cap Fund Investor Class", "Fidelity 500 Index Fund", "Fidelity Contrafund - Class K", "Fidelity Mid Cap Index Fund", "Fidelity Small Cap Index Fund", "MFS New Discovery Value Fund Class R4", "MFS Value Fund Class R3", "T. Rowe Price Integrated U.S. Small-Cap Growth Equity Fund Advisor Class" and "Victory Sycamore Established Value Fund Class Y" are invested primarily in common and preferred stock. The "Baird Core Plus Bond Fund Class Institutional", "Baird Short-Term Bond Fund Institutional Class" and "Fidelity U.S. Bond Index Fund" are invested primarily in fixed income securities. The "Fidelity Government Money Market Fund" is invested primarily in short-term fixed income investments having maturities of one year or less. The "Fidelity Diversified International K6 Fund", "Fidelity International Index Fund" and "Fidelity Emerging Markets Index Fund" are invested primarily in foreign common stocks. The "PIMCO All Asset Fund Institutional Class" is invested primarily in mutual funds. One additional fund, the "Fidelity Cash Reserves Fund" is a money market account that is used for plan-level record keeping for the purchase and sale of fractional shares of LFC common stock and is not available to participants as an investment election. A participant's salary redirection is invested in any of the funds offered at the participant's discretion. Employer matching contributions are invested in the same funds as the participant's salary redirection, and in the same proportions.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Participant Accounts</w:t>
      </w:r>
      <w:r>
        <w:rPr>
          <w:rFonts w:ascii="Arial" w:cs="Arial" w:eastAsia="Arial" w:hAnsi="Arial"/>
          <w:sz w:val="18"/>
          <w:szCs w:val="18"/>
          <w:color w:val="auto"/>
        </w:rPr>
        <w:t>: Each participant’s account is credited with the participant’s contributions and allocations of (a) the employer matching contributions, (b) Plan earnings and (c) forfeitures of the non-vested portion of account balances from terminated participants, and is charged for withdrawals. Allocations are based on participant earnings or account balances, as defined. The benefit to which a participant, or beneficiary, is entitled is the benefit that can be provided from the participant’s vested account.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 The Plan provides that participants may make voluntary pre-tax or Roth contributions to the Plan in amounts up to 80% of eligible compensation or to the maximum amount allowable under the Internal Revenue Code, $23,500 in 2025. For 2025, catch up contributions of up to $ 7,500 are permitted for those eligible participants over 50 years of age. Eligible participants aged 60 to 63 are permitted a higher catch up contribution limit of $11,250. The Plan also allows for participant rollover contributions.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Each year the employer may set a matching percentage of a participant’s compensation, as well as make discretionary contributions. For 2025, the matching percentage was set at 106% of the first 6% of compensation a participant contributes to the Plan as a voluntary contribution. The first 50%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LAKELAND FINANCIAL CORPORATION 401(K)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matching contribution, or the first 3% of participant compensation contributed to the Plan, is made each pay period. The remainder of the match is a discretionary contribution made after the end of the Plan year and is determined partly based on company performance for the year. All contributions are cash contributions.</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Plan includes an auto-enrollment provision whereby all newly eligible employees are automatically enrolled in the Plan unless they affirmatively elect not to participate in the Plan. Automatically enrolled participants have their deferral rate set at 6% of eligible compensation and their contributions invested in a default target date fund based on the participant's age until changed by the participant. Additionally, participants may automatically rollover into the Plan eligible Fidelity retirement accounts held outside of the Plan.</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Death, Disability or Retirement Benefits</w:t>
      </w:r>
      <w:r>
        <w:rPr>
          <w:rFonts w:ascii="Arial" w:cs="Arial" w:eastAsia="Arial" w:hAnsi="Arial"/>
          <w:sz w:val="18"/>
          <w:szCs w:val="18"/>
          <w:color w:val="auto"/>
        </w:rPr>
        <w:t>: Under the Plan, participants, or their beneficiaries, are entitled to 100% of their account balance upon death, disability, or retirement.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Participants are 100% vested in salary deferral contributions. Employer contributions vest according to a five-year graded schedule.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Upon termination of employment, participants with less than five years of credited service will forfeit their non-vested balances. Annually, forfeitures of non-vested terminated participants’ accounts are allocated to the accounts of active participants and offset employer contributions. Unallocated forfeitures amounted to $129,766 and $161,710 as of December 31, 2025 and 2024, respectively. In 2025, forfeitures offsetting employer contributions of $177,742 were allocated to active participants.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Payments of Benefits</w:t>
      </w:r>
      <w:r>
        <w:rPr>
          <w:rFonts w:ascii="Arial" w:cs="Arial" w:eastAsia="Arial" w:hAnsi="Arial"/>
          <w:sz w:val="18"/>
          <w:szCs w:val="18"/>
          <w:color w:val="auto"/>
        </w:rPr>
        <w:t>: On termination of service, a participant may elect to receive either a lump sum or direct rollover amount equal to the value of his or her vested interest in the account. Terminated participants with vested balances less than $7,000 cannot postpone distribution of benefits. Any distribution greater than $1,000 that is made to a participant without the participant's consent before the normal retirement age will be rolled over into an individual retirement account as designated by the plan administrator for the benefit of the participant. Vested balances of less than $1,000 upon termination of service are distributed as a lump sum payment.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Plan also permits in-service withdrawals for participants upon attainment of age 59 ½ years or for participants with a hardship, subject to certain criteria and a $500 minimum amount. Distributions out of the Plan are made in cash. The Plan includes certain other cash out and required rollover provisions, as permitted by law.</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Administrative and Investment Management Expenses</w:t>
      </w:r>
      <w:r>
        <w:rPr>
          <w:rFonts w:ascii="Arial" w:cs="Arial" w:eastAsia="Arial" w:hAnsi="Arial"/>
          <w:sz w:val="18"/>
          <w:szCs w:val="18"/>
          <w:color w:val="auto"/>
        </w:rPr>
        <w:t>: Substantially all administrative expenses are paid by the employer. Investment management fees are charged to the Plan as a reduction of investment return and included in the investment income reported by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policies and principles, which significantly affect the determination of net assets and changes in net assets, are summarized below.</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Basis of Accounting</w:t>
      </w:r>
      <w:r>
        <w:rPr>
          <w:rFonts w:ascii="Arial" w:cs="Arial" w:eastAsia="Arial" w:hAnsi="Arial"/>
          <w:sz w:val="18"/>
          <w:szCs w:val="18"/>
          <w:color w:val="auto"/>
        </w:rPr>
        <w:t>: The accounting practices and principles followed by the Plan and the methods of applying those principles conform to U.S. generally accepted accounting principles. The financial statements of the Plan are prepared under the accrual basis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LAKELAND FINANCIAL CORPORATION 401(K)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Investment Valuation and Income Recognition</w:t>
      </w:r>
      <w:r>
        <w:rPr>
          <w:rFonts w:ascii="Arial" w:cs="Arial" w:eastAsia="Arial" w:hAnsi="Arial"/>
          <w:sz w:val="18"/>
          <w:szCs w:val="18"/>
          <w:color w:val="auto"/>
        </w:rPr>
        <w:t>: The Plan’s investments are reported at fair value. Purchases and sales of securities are recorded on a trade-date basis. Interest income is recorded on the accrual basis. Dividends are recorded on the ex-dividend date.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is the price that would be received by the Plan for an asset or paid by the Plan to transfer a liability (an exit price) in an orderly transaction between market participants on the measurement date in the Plan’s principal or most advantageous market for the asset or liability. 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as follows:</w:t>
      </w:r>
    </w:p>
    <w:p>
      <w:pPr>
        <w:spacing w:after="0" w:line="155"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Level 1: Quoted prices (unadjusted) for identical assets or liabilities in active markets that the Plan has the ability to access as of the measurement date.</w:t>
      </w:r>
    </w:p>
    <w:p>
      <w:pPr>
        <w:spacing w:after="0" w:line="112"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12"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Level 3: Significant unobservable inputs that reflect the Plan’s own assumptions about the assumptions that market participants would use in pricing an asset or liability.</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some cases, a valuation technique used to measure fair value may include inputs from multiple levels of the fair value hierarchy. The lowest level of significant input determines the placement of the entire fair value measurement in the hierarchy.</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fair values of LFC common stock and mutual fund investments are determined by obtaining quoted prices on nationally recognized securities exchanges (Level 1 inputs). Investments measured at fair value on a recurring basis are summarized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gridSpan w:val="7"/>
          </w:tcPr>
          <w:p>
            <w:pPr>
              <w:jc w:val="center"/>
              <w:ind w:right="30"/>
              <w:spacing w:after="0"/>
              <w:rPr>
                <w:sz w:val="20"/>
                <w:szCs w:val="20"/>
                <w:color w:val="auto"/>
              </w:rPr>
            </w:pPr>
            <w:r>
              <w:rPr>
                <w:rFonts w:ascii="Arial" w:cs="Arial" w:eastAsia="Arial" w:hAnsi="Arial"/>
                <w:sz w:val="18"/>
                <w:szCs w:val="18"/>
                <w:color w:val="auto"/>
                <w:w w:val="99"/>
              </w:rPr>
              <w:t>Fair Value Measurements at December 31, 2025</w:t>
            </w:r>
          </w:p>
        </w:tc>
      </w:tr>
      <w:tr>
        <w:trPr>
          <w:trHeight w:val="239"/>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Using</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
        </w:trPr>
        <w:tc>
          <w:tcPr>
            <w:tcW w:w="4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rPr>
              <w:t>Quoted Prices in Active</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w w:val="98"/>
              </w:rPr>
              <w:t>Significant</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Markets for Identical</w:t>
            </w: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rPr>
              <w:t>Significant Other</w:t>
            </w:r>
          </w:p>
        </w:tc>
        <w:tc>
          <w:tcPr>
            <w:tcW w:w="340" w:type="dxa"/>
            <w:vAlign w:val="bottom"/>
          </w:tcPr>
          <w:p>
            <w:pPr>
              <w:spacing w:after="0"/>
              <w:rPr>
                <w:sz w:val="18"/>
                <w:szCs w:val="18"/>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w w:val="99"/>
              </w:rPr>
              <w:t>Unobservable</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Assets</w:t>
            </w: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Observable Inputs</w:t>
            </w:r>
          </w:p>
        </w:tc>
        <w:tc>
          <w:tcPr>
            <w:tcW w:w="340" w:type="dxa"/>
            <w:vAlign w:val="bottom"/>
          </w:tcPr>
          <w:p>
            <w:pPr>
              <w:spacing w:after="0"/>
              <w:rPr>
                <w:sz w:val="18"/>
                <w:szCs w:val="18"/>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rPr>
              <w:t>Inputs</w:t>
            </w:r>
          </w:p>
        </w:tc>
      </w:tr>
      <w:tr>
        <w:trPr>
          <w:trHeight w:val="239"/>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(Level 1)</w:t>
            </w:r>
          </w:p>
        </w:tc>
        <w:tc>
          <w:tcPr>
            <w:tcW w:w="22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(Level 2)</w:t>
            </w:r>
          </w:p>
        </w:tc>
        <w:tc>
          <w:tcPr>
            <w:tcW w:w="340" w:type="dxa"/>
            <w:vAlign w:val="bottom"/>
          </w:tcPr>
          <w:p>
            <w:pPr>
              <w:spacing w:after="0"/>
              <w:rPr>
                <w:sz w:val="20"/>
                <w:szCs w:val="20"/>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w w:val="99"/>
              </w:rPr>
              <w:t>(Level 3)</w:t>
            </w:r>
          </w:p>
        </w:tc>
      </w:tr>
      <w:tr>
        <w:trPr>
          <w:trHeight w:val="23"/>
        </w:trPr>
        <w:tc>
          <w:tcPr>
            <w:tcW w:w="4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6"/>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LFC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31,519,256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7"/>
        </w:trPr>
        <w:tc>
          <w:tcPr>
            <w:tcW w:w="456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95,671,251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7"/>
          </w:tcPr>
          <w:p>
            <w:pPr>
              <w:jc w:val="center"/>
              <w:ind w:right="30"/>
              <w:spacing w:after="0"/>
              <w:rPr>
                <w:sz w:val="20"/>
                <w:szCs w:val="20"/>
                <w:color w:val="auto"/>
              </w:rPr>
            </w:pPr>
            <w:r>
              <w:rPr>
                <w:rFonts w:ascii="Arial" w:cs="Arial" w:eastAsia="Arial" w:hAnsi="Arial"/>
                <w:sz w:val="18"/>
                <w:szCs w:val="18"/>
                <w:color w:val="auto"/>
                <w:w w:val="99"/>
              </w:rPr>
              <w:t>Fair Value Measurements at December 31, 2024</w:t>
            </w:r>
          </w:p>
        </w:tc>
      </w:tr>
      <w:tr>
        <w:trPr>
          <w:trHeight w:val="239"/>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Using</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
        </w:trPr>
        <w:tc>
          <w:tcPr>
            <w:tcW w:w="4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rPr>
              <w:t>Quoted Prices in Active</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w w:val="98"/>
              </w:rPr>
              <w:t>Significant</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Markets for Identical</w:t>
            </w: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rPr>
              <w:t>Significant Other</w:t>
            </w:r>
          </w:p>
        </w:tc>
        <w:tc>
          <w:tcPr>
            <w:tcW w:w="340" w:type="dxa"/>
            <w:vAlign w:val="bottom"/>
          </w:tcPr>
          <w:p>
            <w:pPr>
              <w:spacing w:after="0"/>
              <w:rPr>
                <w:sz w:val="18"/>
                <w:szCs w:val="18"/>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w w:val="99"/>
              </w:rPr>
              <w:t>Unobservable</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Assets</w:t>
            </w: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Observable Inputs</w:t>
            </w:r>
          </w:p>
        </w:tc>
        <w:tc>
          <w:tcPr>
            <w:tcW w:w="340" w:type="dxa"/>
            <w:vAlign w:val="bottom"/>
          </w:tcPr>
          <w:p>
            <w:pPr>
              <w:spacing w:after="0"/>
              <w:rPr>
                <w:sz w:val="18"/>
                <w:szCs w:val="18"/>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rPr>
              <w:t>Inputs</w:t>
            </w:r>
          </w:p>
        </w:tc>
      </w:tr>
      <w:tr>
        <w:trPr>
          <w:trHeight w:val="239"/>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(Level 1)</w:t>
            </w:r>
          </w:p>
        </w:tc>
        <w:tc>
          <w:tcPr>
            <w:tcW w:w="22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(Level 2)</w:t>
            </w:r>
          </w:p>
        </w:tc>
        <w:tc>
          <w:tcPr>
            <w:tcW w:w="340" w:type="dxa"/>
            <w:vAlign w:val="bottom"/>
          </w:tcPr>
          <w:p>
            <w:pPr>
              <w:spacing w:after="0"/>
              <w:rPr>
                <w:sz w:val="20"/>
                <w:szCs w:val="20"/>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color w:val="auto"/>
                <w:w w:val="99"/>
              </w:rPr>
              <w:t>(Level 3)</w:t>
            </w:r>
          </w:p>
        </w:tc>
      </w:tr>
      <w:tr>
        <w:trPr>
          <w:trHeight w:val="23"/>
        </w:trPr>
        <w:tc>
          <w:tcPr>
            <w:tcW w:w="4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LFC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40,194,948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7"/>
        </w:trPr>
        <w:tc>
          <w:tcPr>
            <w:tcW w:w="456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81,057,187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1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LAKELAND FINANCIAL CORPORATION 401(K)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Net Appreciation In Fair Value of Investments</w:t>
      </w:r>
      <w:r>
        <w:rPr>
          <w:rFonts w:ascii="Arial" w:cs="Arial" w:eastAsia="Arial" w:hAnsi="Arial"/>
          <w:sz w:val="18"/>
          <w:szCs w:val="18"/>
          <w:color w:val="auto"/>
        </w:rPr>
        <w:t>: In accordance with the policy of stating investments at fair value, net unrealized appreciation for the year along with gains and losses on sales of investments are reflected in the statement of changes in net assets available for benefits as net appreciation in fair value of investments. Unrealized appreciation for investments held as of the end of the current fiscal year is the difference between the current value of those investments and the value of those investments as of the end of the prior fiscal year or the purchase date for investments purchased during the year.</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Estimates</w:t>
      </w:r>
      <w:r>
        <w:rPr>
          <w:rFonts w:ascii="Arial" w:cs="Arial" w:eastAsia="Arial" w:hAnsi="Arial"/>
          <w:sz w:val="18"/>
          <w:szCs w:val="18"/>
          <w:color w:val="auto"/>
        </w:rPr>
        <w:t>: The preparation of financial statements in conformity with accounting principles generally accepted in the United States of America requires the plan administrator to make estimates and assumptions that affect certain reported amounts and disclosures, and actual results may differ from these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r>
        <w:rPr>
          <w:rFonts w:ascii="Arial" w:cs="Arial" w:eastAsia="Arial" w:hAnsi="Arial"/>
          <w:sz w:val="18"/>
          <w:szCs w:val="18"/>
          <w:color w:val="auto"/>
        </w:rPr>
        <w:t>: Benefits are recorded when paid.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Concentration of Credit Risk</w:t>
      </w:r>
      <w:r>
        <w:rPr>
          <w:rFonts w:ascii="Arial" w:cs="Arial" w:eastAsia="Arial" w:hAnsi="Arial"/>
          <w:sz w:val="18"/>
          <w:szCs w:val="18"/>
          <w:color w:val="auto"/>
        </w:rPr>
        <w:t>: At December 31, 2025 and 2024, 25% and 33% of the Plan’s investments were in LFC common stock, respectively.</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Risks and Uncertainties</w:t>
      </w:r>
      <w:r>
        <w:rPr>
          <w:rFonts w:ascii="Arial" w:cs="Arial" w:eastAsia="Arial" w:hAnsi="Arial"/>
          <w:sz w:val="18"/>
          <w:szCs w:val="18"/>
          <w:color w:val="auto"/>
        </w:rPr>
        <w:t>: The Plan provides for various investment options including any combination of certain mutual funds and stocks. The investments are exposed to various risks, such as interest rate risk, credit risk, liquidity risk, and overall market volatility risk, among others. Due to the level of risk associated with certain investments and the level of uncertainty related to changes in the value of investments, it is at least reasonably possible that changes in the values of investments will occur in the near term and that such changes could materially affect the amounts reported in the statements of net assets available for benefits, and future statements of changes in net assets available for benefits and participants’ account balances.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PLAN TERMINATION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it has not expressed any intent to do so, LFC has the right under the Plan to discontinue its contributions at any time and to terminate the Plan subject to the provisions of ERISA and its related regulations. In the event of termination, participants will become 100% vested in their accounts.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PARTIES-IN-INTEREST TRANSACTIONS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Parties-in-interest are defined under Department of Labor Regulations as any fiduciary of the Plan, any party rendering service to the Plan, the employer, and certain others. At December 31, 2025 and 2024, certain investments of the Plan are shares of mutual funds offered by Fidelity Investments. Fidelity Management Trust Company is the Plan trustee and, therefore, these transactions qualify as party-in-interest transactions.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has a revenue sharing program with the Plan trustee whereby a portion of fees charged to participants for certain funds are used to offset administrative expenses incurred by the Plan. In 2025, the Plan received a revenue sharing allowance from the Plan trustee of $73,610. Fees paid by the Plan to Fidelity for administrative services amounted to $1,469 for 2025. The Plan also invests in shares of common stock issued by Lakeland Financial Corporation, which qualifies as a party-in-interest investment.</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2025, the Plan purchased 38,346 shares of Lakeland Financial Corporation common stock at a cost ranging from $52.49 to $68.69 per share. In 2025, the Plan sold 50,919 shares of Lakeland Financial Corporation common stock at a sales price ranging from $54.04 to $68.87 per share and distributed 19,608 shares of common stock to participants due to termination or retirement. Lakeland Financial Corporation paid cash dividends of $1,157,215 to the Plan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LAKELAND FINANCIAL CORPORATION 401(K)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40" w:type="dxa"/>
            <w:vAlign w:val="bottom"/>
            <w:gridSpan w:val="3"/>
          </w:tcPr>
          <w:p>
            <w:pPr>
              <w:spacing w:after="0"/>
              <w:rPr>
                <w:sz w:val="20"/>
                <w:szCs w:val="20"/>
                <w:color w:val="auto"/>
              </w:rPr>
            </w:pPr>
            <w:r>
              <w:rPr>
                <w:rFonts w:ascii="Arial" w:cs="Arial" w:eastAsia="Arial" w:hAnsi="Arial"/>
                <w:sz w:val="18"/>
                <w:szCs w:val="18"/>
                <w:color w:val="auto"/>
              </w:rPr>
              <w:t>At December 31, 2025 and 2024, the Plan held the following related party investments (at estimated fair value):</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3"/>
        </w:trPr>
        <w:tc>
          <w:tcPr>
            <w:tcW w:w="9140" w:type="dxa"/>
            <w:vAlign w:val="bottom"/>
            <w:gridSpan w:val="3"/>
          </w:tcPr>
          <w:p>
            <w:pPr>
              <w:ind w:left="360"/>
              <w:spacing w:after="0"/>
              <w:rPr>
                <w:sz w:val="20"/>
                <w:szCs w:val="20"/>
                <w:color w:val="auto"/>
              </w:rPr>
            </w:pPr>
            <w:r>
              <w:rPr>
                <w:rFonts w:ascii="Arial" w:cs="Arial" w:eastAsia="Arial" w:hAnsi="Arial"/>
                <w:sz w:val="18"/>
                <w:szCs w:val="18"/>
                <w:color w:val="auto"/>
              </w:rPr>
              <w:t>2025:</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
        </w:trPr>
        <w:tc>
          <w:tcPr>
            <w:tcW w:w="3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LFC common stock – 552,388 shares</w:t>
            </w:r>
          </w:p>
        </w:tc>
        <w:tc>
          <w:tcPr>
            <w:tcW w:w="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31,519,256</w:t>
            </w:r>
          </w:p>
        </w:tc>
      </w:tr>
      <w:tr>
        <w:trPr>
          <w:trHeight w:val="311"/>
        </w:trPr>
        <w:tc>
          <w:tcPr>
            <w:tcW w:w="9140" w:type="dxa"/>
            <w:vAlign w:val="bottom"/>
            <w:gridSpan w:val="3"/>
          </w:tcPr>
          <w:p>
            <w:pPr>
              <w:ind w:left="36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
        </w:trPr>
        <w:tc>
          <w:tcPr>
            <w:tcW w:w="3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47"/>
        </w:trPr>
        <w:tc>
          <w:tcPr>
            <w:tcW w:w="340" w:type="dxa"/>
            <w:vAlign w:val="bottom"/>
            <w:shd w:val="clear" w:color="auto" w:fill="CCEEFF"/>
          </w:tcPr>
          <w:p>
            <w:pPr>
              <w:spacing w:after="0"/>
              <w:rPr>
                <w:sz w:val="21"/>
                <w:szCs w:val="21"/>
                <w:color w:val="auto"/>
              </w:rPr>
            </w:pPr>
          </w:p>
        </w:tc>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LFC common stock – 584,569 shares</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40,194,948</w:t>
            </w:r>
          </w:p>
        </w:tc>
      </w:tr>
      <w:tr>
        <w:trPr>
          <w:trHeight w:val="23"/>
        </w:trPr>
        <w:tc>
          <w:tcPr>
            <w:tcW w:w="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TAX STATUS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was established using a prototype plan document sponsored by Fidelity Management &amp; Research Company. The Internal Revenue Service issued an opinion letter dated June 30, 2020, indicating that the prototype adopted by the Plan, as then designed, was in accordance with applicable sections of the Internal Revenue Code (“IRC”). Plan management believes that the Plan is currently designed and being operated in compliance with the applicable requirements of the IRC.</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 January 1, 2026, the Plan was amended to require participants to be actively employed on the last day of the Plan year in order to be eligible for the year-end discretionary matching contribution. Participants who retire or become disabled or deceased during the Plan year remain eligible for the discretionary matching contribution. Prior to the amendment, terminated participants were eligible for the discretionary matching contribution regardless of employment status during the Plan year.</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January 1, 2026, the Plan was also amended to permit qualified student loan repayments to be treated as eligible contributions for determining employer matching contributions. For participants enrolled in the program, matching contributions may be used on elective deferrals, qualified student loan repayments, or a combination thereof, up to the first 6% of the participant's compensation.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Plan management has evaluated subsequent events for recognition and disclosure. Aside from the amendments above, no other events were identified through June 16, 2026, the date the financial statements were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1057910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5"/>
        </w:trPr>
        <w:tc>
          <w:tcPr>
            <w:tcW w:w="2440" w:type="dxa"/>
            <w:vAlign w:val="bottom"/>
          </w:tcPr>
          <w:p>
            <w:pPr>
              <w:spacing w:after="0"/>
              <w:rPr>
                <w:sz w:val="18"/>
                <w:szCs w:val="18"/>
                <w:color w:val="auto"/>
              </w:rPr>
            </w:pPr>
          </w:p>
        </w:tc>
        <w:tc>
          <w:tcPr>
            <w:tcW w:w="8800" w:type="dxa"/>
            <w:vAlign w:val="bottom"/>
            <w:gridSpan w:val="3"/>
          </w:tcPr>
          <w:p>
            <w:pPr>
              <w:jc w:val="center"/>
              <w:ind w:right="2420"/>
              <w:spacing w:after="0"/>
              <w:rPr>
                <w:sz w:val="20"/>
                <w:szCs w:val="20"/>
                <w:color w:val="auto"/>
              </w:rPr>
            </w:pPr>
            <w:r>
              <w:rPr>
                <w:rFonts w:ascii="Arial" w:cs="Arial" w:eastAsia="Arial" w:hAnsi="Arial"/>
                <w:sz w:val="18"/>
                <w:szCs w:val="18"/>
                <w:color w:val="auto"/>
                <w:w w:val="99"/>
              </w:rPr>
              <w:t>LAKELAND FINANCIAL CORPORATION 401(K) PLAN</w:t>
            </w:r>
          </w:p>
        </w:tc>
      </w:tr>
      <w:tr>
        <w:trPr>
          <w:trHeight w:val="216"/>
        </w:trPr>
        <w:tc>
          <w:tcPr>
            <w:tcW w:w="2440" w:type="dxa"/>
            <w:vAlign w:val="bottom"/>
          </w:tcPr>
          <w:p>
            <w:pPr>
              <w:spacing w:after="0"/>
              <w:rPr>
                <w:sz w:val="18"/>
                <w:szCs w:val="18"/>
                <w:color w:val="auto"/>
              </w:rPr>
            </w:pPr>
          </w:p>
        </w:tc>
        <w:tc>
          <w:tcPr>
            <w:tcW w:w="8800" w:type="dxa"/>
            <w:vAlign w:val="bottom"/>
            <w:gridSpan w:val="3"/>
          </w:tcPr>
          <w:p>
            <w:pPr>
              <w:jc w:val="center"/>
              <w:ind w:right="2440"/>
              <w:spacing w:after="0"/>
              <w:rPr>
                <w:sz w:val="20"/>
                <w:szCs w:val="20"/>
                <w:color w:val="auto"/>
              </w:rPr>
            </w:pPr>
            <w:r>
              <w:rPr>
                <w:rFonts w:ascii="Arial" w:cs="Arial" w:eastAsia="Arial" w:hAnsi="Arial"/>
                <w:sz w:val="18"/>
                <w:szCs w:val="18"/>
                <w:color w:val="auto"/>
                <w:w w:val="99"/>
              </w:rPr>
              <w:t>SCHEDULE H, LINE 4i - SCHEDULE OF ASSETS (HELD AT END OF YEAR)</w:t>
            </w:r>
          </w:p>
        </w:tc>
      </w:tr>
      <w:tr>
        <w:trPr>
          <w:trHeight w:val="239"/>
        </w:trPr>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gridSpan w:val="2"/>
          </w:tcPr>
          <w:p>
            <w:pPr>
              <w:jc w:val="center"/>
              <w:ind w:right="3640"/>
              <w:spacing w:after="0"/>
              <w:rPr>
                <w:sz w:val="20"/>
                <w:szCs w:val="20"/>
                <w:color w:val="auto"/>
              </w:rPr>
            </w:pPr>
            <w:r>
              <w:rPr>
                <w:rFonts w:ascii="Arial" w:cs="Arial" w:eastAsia="Arial" w:hAnsi="Arial"/>
                <w:sz w:val="18"/>
                <w:szCs w:val="18"/>
                <w:color w:val="auto"/>
                <w:w w:val="99"/>
              </w:rPr>
              <w:t>December 31, 2025</w:t>
            </w:r>
          </w:p>
        </w:tc>
      </w:tr>
      <w:tr>
        <w:trPr>
          <w:trHeight w:val="185"/>
        </w:trPr>
        <w:tc>
          <w:tcPr>
            <w:tcW w:w="2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r>
      <w:tr>
        <w:trPr>
          <w:trHeight w:val="352"/>
        </w:trPr>
        <w:tc>
          <w:tcPr>
            <w:tcW w:w="2440" w:type="dxa"/>
            <w:vAlign w:val="bottom"/>
          </w:tcPr>
          <w:p>
            <w:pPr>
              <w:ind w:left="80"/>
              <w:spacing w:after="0"/>
              <w:rPr>
                <w:sz w:val="20"/>
                <w:szCs w:val="20"/>
                <w:color w:val="auto"/>
              </w:rPr>
            </w:pPr>
            <w:r>
              <w:rPr>
                <w:rFonts w:ascii="Arial" w:cs="Arial" w:eastAsia="Arial" w:hAnsi="Arial"/>
                <w:sz w:val="16"/>
                <w:szCs w:val="16"/>
                <w:color w:val="auto"/>
              </w:rPr>
              <w:t>Employer Identification Number:</w:t>
            </w:r>
          </w:p>
        </w:tc>
        <w:tc>
          <w:tcPr>
            <w:tcW w:w="1220" w:type="dxa"/>
            <w:vAlign w:val="bottom"/>
          </w:tcPr>
          <w:p>
            <w:pPr>
              <w:spacing w:after="0"/>
              <w:rPr>
                <w:sz w:val="24"/>
                <w:szCs w:val="24"/>
                <w:color w:val="auto"/>
              </w:rPr>
            </w:pPr>
          </w:p>
        </w:tc>
        <w:tc>
          <w:tcPr>
            <w:tcW w:w="36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Lakeland Financial Corporation</w:t>
            </w:r>
          </w:p>
        </w:tc>
        <w:tc>
          <w:tcPr>
            <w:tcW w:w="3980" w:type="dxa"/>
            <w:vAlign w:val="bottom"/>
          </w:tcPr>
          <w:p>
            <w:pPr>
              <w:spacing w:after="0"/>
              <w:rPr>
                <w:sz w:val="24"/>
                <w:szCs w:val="24"/>
                <w:color w:val="auto"/>
              </w:rPr>
            </w:pPr>
          </w:p>
        </w:tc>
      </w:tr>
      <w:tr>
        <w:trPr>
          <w:trHeight w:val="236"/>
        </w:trPr>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0" w:type="dxa"/>
            <w:vAlign w:val="bottom"/>
            <w:tcBorders>
              <w:bottom w:val="single" w:sz="8" w:color="auto"/>
            </w:tcBorders>
          </w:tcPr>
          <w:p>
            <w:pPr>
              <w:jc w:val="right"/>
              <w:ind w:right="1297"/>
              <w:spacing w:after="0"/>
              <w:rPr>
                <w:sz w:val="20"/>
                <w:szCs w:val="20"/>
                <w:color w:val="auto"/>
              </w:rPr>
            </w:pPr>
            <w:r>
              <w:rPr>
                <w:rFonts w:ascii="Arial" w:cs="Arial" w:eastAsia="Arial" w:hAnsi="Arial"/>
                <w:sz w:val="16"/>
                <w:szCs w:val="16"/>
                <w:color w:val="auto"/>
              </w:rPr>
              <w:t>35-1559596</w:t>
            </w:r>
          </w:p>
        </w:tc>
        <w:tc>
          <w:tcPr>
            <w:tcW w:w="3980" w:type="dxa"/>
            <w:vAlign w:val="bottom"/>
          </w:tcPr>
          <w:p>
            <w:pPr>
              <w:spacing w:after="0"/>
              <w:rPr>
                <w:sz w:val="20"/>
                <w:szCs w:val="20"/>
                <w:color w:val="auto"/>
              </w:rPr>
            </w:pPr>
          </w:p>
        </w:tc>
      </w:tr>
      <w:tr>
        <w:trPr>
          <w:trHeight w:val="237"/>
        </w:trPr>
        <w:tc>
          <w:tcPr>
            <w:tcW w:w="2440" w:type="dxa"/>
            <w:vAlign w:val="bottom"/>
          </w:tcPr>
          <w:p>
            <w:pPr>
              <w:ind w:left="80"/>
              <w:spacing w:after="0"/>
              <w:rPr>
                <w:sz w:val="20"/>
                <w:szCs w:val="20"/>
                <w:color w:val="auto"/>
              </w:rPr>
            </w:pPr>
            <w:r>
              <w:rPr>
                <w:rFonts w:ascii="Arial" w:cs="Arial" w:eastAsia="Arial" w:hAnsi="Arial"/>
                <w:sz w:val="16"/>
                <w:szCs w:val="16"/>
                <w:color w:val="auto"/>
              </w:rPr>
              <w:t>Three Digit Plan Number:</w:t>
            </w:r>
          </w:p>
        </w:tc>
        <w:tc>
          <w:tcPr>
            <w:tcW w:w="1220" w:type="dxa"/>
            <w:vAlign w:val="bottom"/>
          </w:tcPr>
          <w:p>
            <w:pPr>
              <w:spacing w:after="0"/>
              <w:rPr>
                <w:sz w:val="20"/>
                <w:szCs w:val="20"/>
                <w:color w:val="auto"/>
              </w:rPr>
            </w:pPr>
          </w:p>
        </w:tc>
        <w:tc>
          <w:tcPr>
            <w:tcW w:w="3600" w:type="dxa"/>
            <w:vAlign w:val="bottom"/>
            <w:tcBorders>
              <w:bottom w:val="single" w:sz="8" w:color="auto"/>
            </w:tcBorders>
          </w:tcPr>
          <w:p>
            <w:pPr>
              <w:jc w:val="right"/>
              <w:ind w:right="1577"/>
              <w:spacing w:after="0"/>
              <w:rPr>
                <w:sz w:val="20"/>
                <w:szCs w:val="20"/>
                <w:color w:val="auto"/>
              </w:rPr>
            </w:pPr>
            <w:r>
              <w:rPr>
                <w:rFonts w:ascii="Arial" w:cs="Arial" w:eastAsia="Arial" w:hAnsi="Arial"/>
                <w:sz w:val="16"/>
                <w:szCs w:val="16"/>
                <w:color w:val="auto"/>
              </w:rPr>
              <w:t>004</w:t>
            </w:r>
          </w:p>
        </w:tc>
        <w:tc>
          <w:tcPr>
            <w:tcW w:w="3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2"/>
          </w:tcPr>
          <w:p>
            <w:pPr>
              <w:jc w:val="center"/>
              <w:ind w:right="1860"/>
              <w:spacing w:after="0"/>
              <w:rPr>
                <w:sz w:val="20"/>
                <w:szCs w:val="20"/>
                <w:color w:val="auto"/>
              </w:rPr>
            </w:pPr>
            <w:r>
              <w:rPr>
                <w:rFonts w:ascii="Arial" w:cs="Arial" w:eastAsia="Arial" w:hAnsi="Arial"/>
                <w:sz w:val="18"/>
                <w:szCs w:val="18"/>
                <w:color w:val="auto"/>
              </w:rPr>
              <w:t>(c)</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2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Description of Investment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gridSpan w:val="2"/>
            <w:vMerge w:val="restart"/>
          </w:tcPr>
          <w:p>
            <w:pPr>
              <w:jc w:val="center"/>
              <w:ind w:right="880"/>
              <w:spacing w:after="0"/>
              <w:rPr>
                <w:sz w:val="20"/>
                <w:szCs w:val="20"/>
                <w:color w:val="auto"/>
              </w:rPr>
            </w:pPr>
            <w:r>
              <w:rPr>
                <w:rFonts w:ascii="Arial" w:cs="Arial" w:eastAsia="Arial" w:hAnsi="Arial"/>
                <w:sz w:val="16"/>
                <w:szCs w:val="16"/>
                <w:color w:val="auto"/>
              </w:rPr>
              <w:t>(b)</w:t>
            </w:r>
          </w:p>
        </w:tc>
        <w:tc>
          <w:tcPr>
            <w:tcW w:w="1160" w:type="dxa"/>
            <w:vAlign w:val="bottom"/>
          </w:tcPr>
          <w:p>
            <w:pPr>
              <w:spacing w:after="0"/>
              <w:rPr>
                <w:sz w:val="18"/>
                <w:szCs w:val="18"/>
                <w:color w:val="auto"/>
              </w:rPr>
            </w:pPr>
          </w:p>
        </w:tc>
        <w:tc>
          <w:tcPr>
            <w:tcW w:w="3660" w:type="dxa"/>
            <w:vAlign w:val="bottom"/>
            <w:gridSpan w:val="3"/>
          </w:tcPr>
          <w:p>
            <w:pPr>
              <w:jc w:val="center"/>
              <w:ind w:right="1720"/>
              <w:spacing w:after="0"/>
              <w:rPr>
                <w:sz w:val="20"/>
                <w:szCs w:val="20"/>
                <w:color w:val="auto"/>
              </w:rPr>
            </w:pPr>
            <w:r>
              <w:rPr>
                <w:rFonts w:ascii="Arial" w:cs="Arial" w:eastAsia="Arial" w:hAnsi="Arial"/>
                <w:sz w:val="18"/>
                <w:szCs w:val="18"/>
                <w:color w:val="auto"/>
              </w:rPr>
              <w:t>Including Maturity Date,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restart"/>
          </w:tcPr>
          <w:p>
            <w:pPr>
              <w:jc w:val="center"/>
              <w:ind w:right="580"/>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46"/>
        </w:trPr>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gridSpan w:val="2"/>
            <w:vMerge w:val="continue"/>
          </w:tcPr>
          <w:p>
            <w:pPr>
              <w:spacing w:after="0"/>
              <w:rPr>
                <w:sz w:val="3"/>
                <w:szCs w:val="3"/>
                <w:color w:val="auto"/>
              </w:rPr>
            </w:pPr>
          </w:p>
        </w:tc>
        <w:tc>
          <w:tcPr>
            <w:tcW w:w="4820" w:type="dxa"/>
            <w:vAlign w:val="bottom"/>
            <w:gridSpan w:val="4"/>
            <w:vMerge w:val="restart"/>
          </w:tcPr>
          <w:p>
            <w:pPr>
              <w:jc w:val="center"/>
              <w:ind w:right="560"/>
              <w:spacing w:after="0"/>
              <w:rPr>
                <w:sz w:val="20"/>
                <w:szCs w:val="20"/>
                <w:color w:val="auto"/>
              </w:rPr>
            </w:pPr>
            <w:r>
              <w:rPr>
                <w:rFonts w:ascii="Arial" w:cs="Arial" w:eastAsia="Arial" w:hAnsi="Arial"/>
                <w:sz w:val="18"/>
                <w:szCs w:val="18"/>
                <w:color w:val="auto"/>
                <w:w w:val="99"/>
              </w:rPr>
              <w:t>Rate of Interest, Collateral,</w:t>
            </w: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3"/>
          </w:tcPr>
          <w:p>
            <w:pPr>
              <w:jc w:val="center"/>
              <w:spacing w:after="0" w:line="175" w:lineRule="exact"/>
              <w:rPr>
                <w:sz w:val="20"/>
                <w:szCs w:val="20"/>
                <w:color w:val="auto"/>
              </w:rPr>
            </w:pPr>
            <w:r>
              <w:rPr>
                <w:rFonts w:ascii="Arial" w:cs="Arial" w:eastAsia="Arial" w:hAnsi="Arial"/>
                <w:sz w:val="16"/>
                <w:szCs w:val="16"/>
                <w:color w:val="auto"/>
              </w:rPr>
              <w:t>Identity of Issue, Borrower,</w:t>
            </w:r>
          </w:p>
        </w:tc>
        <w:tc>
          <w:tcPr>
            <w:tcW w:w="4820" w:type="dxa"/>
            <w:vAlign w:val="bottom"/>
            <w:gridSpan w:val="4"/>
            <w:vMerge w:val="continue"/>
          </w:tcPr>
          <w:p>
            <w:pPr>
              <w:spacing w:after="0"/>
              <w:rPr>
                <w:sz w:val="15"/>
                <w:szCs w:val="15"/>
                <w:color w:val="auto"/>
              </w:rPr>
            </w:pPr>
          </w:p>
        </w:tc>
        <w:tc>
          <w:tcPr>
            <w:tcW w:w="600" w:type="dxa"/>
            <w:vAlign w:val="bottom"/>
            <w:gridSpan w:val="2"/>
          </w:tcPr>
          <w:p>
            <w:pPr>
              <w:jc w:val="center"/>
              <w:ind w:right="280"/>
              <w:spacing w:after="0" w:line="175" w:lineRule="exact"/>
              <w:rPr>
                <w:sz w:val="20"/>
                <w:szCs w:val="20"/>
                <w:color w:val="auto"/>
              </w:rPr>
            </w:pPr>
            <w:r>
              <w:rPr>
                <w:rFonts w:ascii="Arial" w:cs="Arial" w:eastAsia="Arial" w:hAnsi="Arial"/>
                <w:sz w:val="16"/>
                <w:szCs w:val="16"/>
                <w:color w:val="auto"/>
              </w:rPr>
              <w:t>(d)</w:t>
            </w:r>
          </w:p>
        </w:tc>
        <w:tc>
          <w:tcPr>
            <w:tcW w:w="560" w:type="dxa"/>
            <w:vAlign w:val="bottom"/>
          </w:tcPr>
          <w:p>
            <w:pPr>
              <w:spacing w:after="0"/>
              <w:rPr>
                <w:sz w:val="15"/>
                <w:szCs w:val="15"/>
                <w:color w:val="auto"/>
              </w:rPr>
            </w:pPr>
          </w:p>
        </w:tc>
        <w:tc>
          <w:tcPr>
            <w:tcW w:w="1260" w:type="dxa"/>
            <w:vAlign w:val="bottom"/>
            <w:gridSpan w:val="3"/>
          </w:tcPr>
          <w:p>
            <w:pPr>
              <w:jc w:val="center"/>
              <w:ind w:right="320"/>
              <w:spacing w:after="0" w:line="175" w:lineRule="exact"/>
              <w:rPr>
                <w:sz w:val="20"/>
                <w:szCs w:val="20"/>
                <w:color w:val="auto"/>
              </w:rPr>
            </w:pPr>
            <w:r>
              <w:rPr>
                <w:rFonts w:ascii="Arial" w:cs="Arial" w:eastAsia="Arial" w:hAnsi="Arial"/>
                <w:sz w:val="16"/>
                <w:szCs w:val="16"/>
                <w:color w:val="auto"/>
              </w:rPr>
              <w:t>Current</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4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rPr>
              <w:t>(a)</w:t>
            </w:r>
          </w:p>
        </w:tc>
        <w:tc>
          <w:tcPr>
            <w:tcW w:w="900" w:type="dxa"/>
            <w:vAlign w:val="bottom"/>
          </w:tcPr>
          <w:p>
            <w:pPr>
              <w:spacing w:after="0"/>
              <w:rPr>
                <w:sz w:val="18"/>
                <w:szCs w:val="18"/>
                <w:color w:val="auto"/>
              </w:rPr>
            </w:pPr>
          </w:p>
        </w:tc>
        <w:tc>
          <w:tcPr>
            <w:tcW w:w="2560" w:type="dxa"/>
            <w:vAlign w:val="bottom"/>
            <w:gridSpan w:val="2"/>
          </w:tcPr>
          <w:p>
            <w:pPr>
              <w:jc w:val="center"/>
              <w:ind w:right="880"/>
              <w:spacing w:after="0" w:line="169" w:lineRule="exact"/>
              <w:rPr>
                <w:sz w:val="20"/>
                <w:szCs w:val="20"/>
                <w:color w:val="auto"/>
              </w:rPr>
            </w:pPr>
            <w:r>
              <w:rPr>
                <w:rFonts w:ascii="Arial" w:cs="Arial" w:eastAsia="Arial" w:hAnsi="Arial"/>
                <w:sz w:val="16"/>
                <w:szCs w:val="16"/>
                <w:color w:val="auto"/>
              </w:rPr>
              <w:t>Lessor, or Similar Party</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2"/>
          </w:tcPr>
          <w:p>
            <w:pPr>
              <w:jc w:val="center"/>
              <w:ind w:right="1860"/>
              <w:spacing w:after="0" w:line="169" w:lineRule="exact"/>
              <w:rPr>
                <w:sz w:val="20"/>
                <w:szCs w:val="20"/>
                <w:color w:val="auto"/>
              </w:rPr>
            </w:pPr>
            <w:r>
              <w:rPr>
                <w:rFonts w:ascii="Arial" w:cs="Arial" w:eastAsia="Arial" w:hAnsi="Arial"/>
                <w:sz w:val="18"/>
                <w:szCs w:val="18"/>
                <w:color w:val="auto"/>
                <w:w w:val="98"/>
              </w:rPr>
              <w:t>Par or Maturity Value</w:t>
            </w:r>
          </w:p>
        </w:tc>
        <w:tc>
          <w:tcPr>
            <w:tcW w:w="600" w:type="dxa"/>
            <w:vAlign w:val="bottom"/>
            <w:gridSpan w:val="2"/>
          </w:tcPr>
          <w:p>
            <w:pPr>
              <w:jc w:val="center"/>
              <w:ind w:right="280"/>
              <w:spacing w:after="0" w:line="169" w:lineRule="exact"/>
              <w:rPr>
                <w:sz w:val="20"/>
                <w:szCs w:val="20"/>
                <w:color w:val="auto"/>
              </w:rPr>
            </w:pPr>
            <w:r>
              <w:rPr>
                <w:rFonts w:ascii="Arial" w:cs="Arial" w:eastAsia="Arial" w:hAnsi="Arial"/>
                <w:sz w:val="16"/>
                <w:szCs w:val="16"/>
                <w:color w:val="auto"/>
                <w:w w:val="97"/>
              </w:rPr>
              <w:t>Cost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center"/>
              <w:ind w:right="580"/>
              <w:spacing w:after="0" w:line="169" w:lineRule="exact"/>
              <w:rPr>
                <w:sz w:val="20"/>
                <w:szCs w:val="20"/>
                <w:color w:val="auto"/>
              </w:rPr>
            </w:pPr>
            <w:r>
              <w:rPr>
                <w:rFonts w:ascii="Arial" w:cs="Arial" w:eastAsia="Arial" w:hAnsi="Arial"/>
                <w:sz w:val="16"/>
                <w:szCs w:val="16"/>
                <w:color w:val="auto"/>
                <w:w w:val="97"/>
              </w:rPr>
              <w:t>Value</w:t>
            </w: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166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Artisan Partners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Artisan Mid Cap Fund Investor Class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112,736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3,689,860</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Baird Services</w:t>
            </w:r>
          </w:p>
        </w:tc>
        <w:tc>
          <w:tcPr>
            <w:tcW w:w="4820" w:type="dxa"/>
            <w:vAlign w:val="bottom"/>
            <w:gridSpan w:val="4"/>
          </w:tcPr>
          <w:p>
            <w:pPr>
              <w:spacing w:after="0"/>
              <w:rPr>
                <w:sz w:val="20"/>
                <w:szCs w:val="20"/>
                <w:color w:val="auto"/>
              </w:rPr>
            </w:pPr>
            <w:r>
              <w:rPr>
                <w:rFonts w:ascii="Arial" w:cs="Arial" w:eastAsia="Arial" w:hAnsi="Arial"/>
                <w:sz w:val="18"/>
                <w:szCs w:val="18"/>
                <w:color w:val="auto"/>
              </w:rPr>
              <w:t>Baird Core Plus Bond Fund Class Institutional 10,177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60"/>
              <w:spacing w:after="0"/>
              <w:rPr>
                <w:sz w:val="20"/>
                <w:szCs w:val="20"/>
                <w:color w:val="auto"/>
              </w:rPr>
            </w:pPr>
            <w:r>
              <w:rPr>
                <w:rFonts w:ascii="Arial" w:cs="Arial" w:eastAsia="Arial" w:hAnsi="Arial"/>
                <w:sz w:val="18"/>
                <w:szCs w:val="18"/>
                <w:color w:val="auto"/>
              </w:rPr>
              <w:t>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104,310</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Baird Services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Baird Short-Term Bond Fund Institutional Class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97,019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928,477</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500 Index Fund</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60"/>
              <w:spacing w:after="0"/>
              <w:rPr>
                <w:sz w:val="20"/>
                <w:szCs w:val="20"/>
                <w:color w:val="auto"/>
              </w:rPr>
            </w:pPr>
            <w:r>
              <w:rPr>
                <w:rFonts w:ascii="Arial" w:cs="Arial" w:eastAsia="Arial" w:hAnsi="Arial"/>
                <w:sz w:val="18"/>
                <w:szCs w:val="18"/>
                <w:color w:val="auto"/>
              </w:rPr>
              <w:t>63,890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15,187,847</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Cash Reserves Fund</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3,835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Contrafund - Class K</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40"/>
              <w:spacing w:after="0"/>
              <w:rPr>
                <w:sz w:val="20"/>
                <w:szCs w:val="20"/>
                <w:color w:val="auto"/>
              </w:rPr>
            </w:pPr>
            <w:r>
              <w:rPr>
                <w:rFonts w:ascii="Arial" w:cs="Arial" w:eastAsia="Arial" w:hAnsi="Arial"/>
                <w:sz w:val="18"/>
                <w:szCs w:val="18"/>
                <w:color w:val="auto"/>
              </w:rPr>
              <w:t>516,686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12,612,307</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Diversified International K6 Fund 124,895</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2,213,140</w:t>
            </w:r>
          </w:p>
        </w:tc>
        <w:tc>
          <w:tcPr>
            <w:tcW w:w="0" w:type="dxa"/>
            <w:vAlign w:val="bottom"/>
          </w:tcPr>
          <w:p>
            <w:pPr>
              <w:spacing w:after="0"/>
              <w:rPr>
                <w:sz w:val="1"/>
                <w:szCs w:val="1"/>
                <w:color w:val="auto"/>
              </w:rPr>
            </w:pPr>
          </w:p>
        </w:tc>
      </w:tr>
      <w:tr>
        <w:trPr>
          <w:trHeight w:val="247"/>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Emerging Markets Index Fund 59,513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1"/>
                <w:szCs w:val="21"/>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814,143</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Freedom 2010 Fund Class K6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2,399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35,165</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Freedom 2015 Fund Class K6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00"/>
              <w:spacing w:after="0"/>
              <w:rPr>
                <w:sz w:val="20"/>
                <w:szCs w:val="20"/>
                <w:color w:val="auto"/>
              </w:rPr>
            </w:pPr>
            <w:r>
              <w:rPr>
                <w:rFonts w:ascii="Arial" w:cs="Arial" w:eastAsia="Arial" w:hAnsi="Arial"/>
                <w:sz w:val="18"/>
                <w:szCs w:val="18"/>
                <w:color w:val="auto"/>
              </w:rPr>
              <w:t>39,487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474,639</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Freedom 2020 Fund Class K6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64,877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988,074</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Freedom 2025 Fund Class K6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00"/>
              <w:spacing w:after="0"/>
              <w:rPr>
                <w:sz w:val="20"/>
                <w:szCs w:val="20"/>
                <w:color w:val="auto"/>
              </w:rPr>
            </w:pPr>
            <w:r>
              <w:rPr>
                <w:rFonts w:ascii="Arial" w:cs="Arial" w:eastAsia="Arial" w:hAnsi="Arial"/>
                <w:sz w:val="18"/>
                <w:szCs w:val="18"/>
                <w:color w:val="auto"/>
              </w:rPr>
              <w:t>238,420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3,526,228</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Freedom 2030 Fund Class K6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320,091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6,216,160</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Freedom 2035 Fund Class K6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00"/>
              <w:spacing w:after="0"/>
              <w:rPr>
                <w:sz w:val="20"/>
                <w:szCs w:val="20"/>
                <w:color w:val="auto"/>
              </w:rPr>
            </w:pPr>
            <w:r>
              <w:rPr>
                <w:rFonts w:ascii="Arial" w:cs="Arial" w:eastAsia="Arial" w:hAnsi="Arial"/>
                <w:sz w:val="18"/>
                <w:szCs w:val="18"/>
                <w:color w:val="auto"/>
              </w:rPr>
              <w:t>311,974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5,503,221</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Freedom 2040 Fund Class K6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494,609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6,583,244</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Freedom 2045 Fund Class K6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00"/>
              <w:spacing w:after="0"/>
              <w:rPr>
                <w:sz w:val="20"/>
                <w:szCs w:val="20"/>
                <w:color w:val="auto"/>
              </w:rPr>
            </w:pPr>
            <w:r>
              <w:rPr>
                <w:rFonts w:ascii="Arial" w:cs="Arial" w:eastAsia="Arial" w:hAnsi="Arial"/>
                <w:sz w:val="18"/>
                <w:szCs w:val="18"/>
                <w:color w:val="auto"/>
              </w:rPr>
              <w:t>276,830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4,384,993</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Freedom 2050 Fund Class K6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388,784 shares</w:t>
            </w:r>
          </w:p>
        </w:tc>
        <w:tc>
          <w:tcPr>
            <w:tcW w:w="6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6,271,080</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Freedom 2055 Fund Class K6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00"/>
              <w:spacing w:after="0"/>
              <w:rPr>
                <w:sz w:val="20"/>
                <w:szCs w:val="20"/>
                <w:color w:val="auto"/>
              </w:rPr>
            </w:pPr>
            <w:r>
              <w:rPr>
                <w:rFonts w:ascii="Arial" w:cs="Arial" w:eastAsia="Arial" w:hAnsi="Arial"/>
                <w:sz w:val="18"/>
                <w:szCs w:val="18"/>
                <w:color w:val="auto"/>
              </w:rPr>
              <w:t>202,233 shares</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3,789,841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1240"/>
          </w:cols>
          <w:pgMar w:left="320" w:top="122" w:right="339" w:bottom="1440" w:gutter="0" w:footer="0" w:header="0"/>
        </w:sectPr>
      </w:pPr>
    </w:p>
    <w:p>
      <w:pPr>
        <w:spacing w:after="0" w:line="117"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2440" w:type="dxa"/>
            <w:vAlign w:val="bottom"/>
          </w:tcPr>
          <w:p>
            <w:pPr>
              <w:spacing w:after="0"/>
              <w:rPr>
                <w:sz w:val="18"/>
                <w:szCs w:val="18"/>
                <w:color w:val="auto"/>
              </w:rPr>
            </w:pPr>
          </w:p>
        </w:tc>
        <w:tc>
          <w:tcPr>
            <w:tcW w:w="8800" w:type="dxa"/>
            <w:vAlign w:val="bottom"/>
            <w:gridSpan w:val="3"/>
          </w:tcPr>
          <w:p>
            <w:pPr>
              <w:jc w:val="center"/>
              <w:ind w:right="2420"/>
              <w:spacing w:after="0"/>
              <w:rPr>
                <w:sz w:val="20"/>
                <w:szCs w:val="20"/>
                <w:color w:val="auto"/>
              </w:rPr>
            </w:pPr>
            <w:r>
              <w:rPr>
                <w:rFonts w:ascii="Arial" w:cs="Arial" w:eastAsia="Arial" w:hAnsi="Arial"/>
                <w:sz w:val="18"/>
                <w:szCs w:val="18"/>
                <w:color w:val="auto"/>
                <w:w w:val="99"/>
              </w:rPr>
              <w:t>LAKELAND FINANCIAL CORPORATION 401(K) PLAN</w:t>
            </w:r>
          </w:p>
        </w:tc>
      </w:tr>
      <w:tr>
        <w:trPr>
          <w:trHeight w:val="216"/>
        </w:trPr>
        <w:tc>
          <w:tcPr>
            <w:tcW w:w="2440" w:type="dxa"/>
            <w:vAlign w:val="bottom"/>
          </w:tcPr>
          <w:p>
            <w:pPr>
              <w:spacing w:after="0"/>
              <w:rPr>
                <w:sz w:val="18"/>
                <w:szCs w:val="18"/>
                <w:color w:val="auto"/>
              </w:rPr>
            </w:pPr>
          </w:p>
        </w:tc>
        <w:tc>
          <w:tcPr>
            <w:tcW w:w="8800" w:type="dxa"/>
            <w:vAlign w:val="bottom"/>
            <w:gridSpan w:val="3"/>
          </w:tcPr>
          <w:p>
            <w:pPr>
              <w:jc w:val="center"/>
              <w:ind w:right="2440"/>
              <w:spacing w:after="0"/>
              <w:rPr>
                <w:sz w:val="20"/>
                <w:szCs w:val="20"/>
                <w:color w:val="auto"/>
              </w:rPr>
            </w:pPr>
            <w:r>
              <w:rPr>
                <w:rFonts w:ascii="Arial" w:cs="Arial" w:eastAsia="Arial" w:hAnsi="Arial"/>
                <w:sz w:val="18"/>
                <w:szCs w:val="18"/>
                <w:color w:val="auto"/>
                <w:w w:val="99"/>
              </w:rPr>
              <w:t>SCHEDULE H, LINE 4i - SCHEDULE OF ASSETS (HELD AT END OF YEAR)</w:t>
            </w:r>
          </w:p>
        </w:tc>
      </w:tr>
      <w:tr>
        <w:trPr>
          <w:trHeight w:val="239"/>
        </w:trPr>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gridSpan w:val="2"/>
          </w:tcPr>
          <w:p>
            <w:pPr>
              <w:jc w:val="center"/>
              <w:ind w:right="3640"/>
              <w:spacing w:after="0"/>
              <w:rPr>
                <w:sz w:val="20"/>
                <w:szCs w:val="20"/>
                <w:color w:val="auto"/>
              </w:rPr>
            </w:pPr>
            <w:r>
              <w:rPr>
                <w:rFonts w:ascii="Arial" w:cs="Arial" w:eastAsia="Arial" w:hAnsi="Arial"/>
                <w:sz w:val="18"/>
                <w:szCs w:val="18"/>
                <w:color w:val="auto"/>
                <w:w w:val="99"/>
              </w:rPr>
              <w:t>December 31, 2025</w:t>
            </w:r>
          </w:p>
        </w:tc>
      </w:tr>
      <w:tr>
        <w:trPr>
          <w:trHeight w:val="185"/>
        </w:trPr>
        <w:tc>
          <w:tcPr>
            <w:tcW w:w="2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r>
      <w:tr>
        <w:trPr>
          <w:trHeight w:val="352"/>
        </w:trPr>
        <w:tc>
          <w:tcPr>
            <w:tcW w:w="2440" w:type="dxa"/>
            <w:vAlign w:val="bottom"/>
          </w:tcPr>
          <w:p>
            <w:pPr>
              <w:ind w:left="80"/>
              <w:spacing w:after="0"/>
              <w:rPr>
                <w:sz w:val="20"/>
                <w:szCs w:val="20"/>
                <w:color w:val="auto"/>
              </w:rPr>
            </w:pPr>
            <w:r>
              <w:rPr>
                <w:rFonts w:ascii="Arial" w:cs="Arial" w:eastAsia="Arial" w:hAnsi="Arial"/>
                <w:sz w:val="16"/>
                <w:szCs w:val="16"/>
                <w:color w:val="auto"/>
              </w:rPr>
              <w:t>Employer Identification Number:</w:t>
            </w:r>
          </w:p>
        </w:tc>
        <w:tc>
          <w:tcPr>
            <w:tcW w:w="1220" w:type="dxa"/>
            <w:vAlign w:val="bottom"/>
          </w:tcPr>
          <w:p>
            <w:pPr>
              <w:spacing w:after="0"/>
              <w:rPr>
                <w:sz w:val="24"/>
                <w:szCs w:val="24"/>
                <w:color w:val="auto"/>
              </w:rPr>
            </w:pPr>
          </w:p>
        </w:tc>
        <w:tc>
          <w:tcPr>
            <w:tcW w:w="36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Lakeland Financial Corporation</w:t>
            </w:r>
          </w:p>
        </w:tc>
        <w:tc>
          <w:tcPr>
            <w:tcW w:w="3980" w:type="dxa"/>
            <w:vAlign w:val="bottom"/>
          </w:tcPr>
          <w:p>
            <w:pPr>
              <w:spacing w:after="0"/>
              <w:rPr>
                <w:sz w:val="24"/>
                <w:szCs w:val="24"/>
                <w:color w:val="auto"/>
              </w:rPr>
            </w:pPr>
          </w:p>
        </w:tc>
      </w:tr>
      <w:tr>
        <w:trPr>
          <w:trHeight w:val="236"/>
        </w:trPr>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0" w:type="dxa"/>
            <w:vAlign w:val="bottom"/>
            <w:tcBorders>
              <w:bottom w:val="single" w:sz="8" w:color="auto"/>
            </w:tcBorders>
          </w:tcPr>
          <w:p>
            <w:pPr>
              <w:jc w:val="right"/>
              <w:ind w:right="1297"/>
              <w:spacing w:after="0"/>
              <w:rPr>
                <w:sz w:val="20"/>
                <w:szCs w:val="20"/>
                <w:color w:val="auto"/>
              </w:rPr>
            </w:pPr>
            <w:r>
              <w:rPr>
                <w:rFonts w:ascii="Arial" w:cs="Arial" w:eastAsia="Arial" w:hAnsi="Arial"/>
                <w:sz w:val="16"/>
                <w:szCs w:val="16"/>
                <w:color w:val="auto"/>
              </w:rPr>
              <w:t>35-1559596</w:t>
            </w:r>
          </w:p>
        </w:tc>
        <w:tc>
          <w:tcPr>
            <w:tcW w:w="3980" w:type="dxa"/>
            <w:vAlign w:val="bottom"/>
          </w:tcPr>
          <w:p>
            <w:pPr>
              <w:spacing w:after="0"/>
              <w:rPr>
                <w:sz w:val="20"/>
                <w:szCs w:val="20"/>
                <w:color w:val="auto"/>
              </w:rPr>
            </w:pPr>
          </w:p>
        </w:tc>
      </w:tr>
      <w:tr>
        <w:trPr>
          <w:trHeight w:val="237"/>
        </w:trPr>
        <w:tc>
          <w:tcPr>
            <w:tcW w:w="2440" w:type="dxa"/>
            <w:vAlign w:val="bottom"/>
          </w:tcPr>
          <w:p>
            <w:pPr>
              <w:ind w:left="80"/>
              <w:spacing w:after="0"/>
              <w:rPr>
                <w:sz w:val="20"/>
                <w:szCs w:val="20"/>
                <w:color w:val="auto"/>
              </w:rPr>
            </w:pPr>
            <w:r>
              <w:rPr>
                <w:rFonts w:ascii="Arial" w:cs="Arial" w:eastAsia="Arial" w:hAnsi="Arial"/>
                <w:sz w:val="16"/>
                <w:szCs w:val="16"/>
                <w:color w:val="auto"/>
              </w:rPr>
              <w:t>Three Digit Plan Number:</w:t>
            </w:r>
          </w:p>
        </w:tc>
        <w:tc>
          <w:tcPr>
            <w:tcW w:w="1220" w:type="dxa"/>
            <w:vAlign w:val="bottom"/>
          </w:tcPr>
          <w:p>
            <w:pPr>
              <w:spacing w:after="0"/>
              <w:rPr>
                <w:sz w:val="20"/>
                <w:szCs w:val="20"/>
                <w:color w:val="auto"/>
              </w:rPr>
            </w:pPr>
          </w:p>
        </w:tc>
        <w:tc>
          <w:tcPr>
            <w:tcW w:w="3600" w:type="dxa"/>
            <w:vAlign w:val="bottom"/>
            <w:tcBorders>
              <w:bottom w:val="single" w:sz="8" w:color="auto"/>
            </w:tcBorders>
          </w:tcPr>
          <w:p>
            <w:pPr>
              <w:jc w:val="right"/>
              <w:ind w:right="1577"/>
              <w:spacing w:after="0"/>
              <w:rPr>
                <w:sz w:val="20"/>
                <w:szCs w:val="20"/>
                <w:color w:val="auto"/>
              </w:rPr>
            </w:pPr>
            <w:r>
              <w:rPr>
                <w:rFonts w:ascii="Arial" w:cs="Arial" w:eastAsia="Arial" w:hAnsi="Arial"/>
                <w:sz w:val="16"/>
                <w:szCs w:val="16"/>
                <w:color w:val="auto"/>
              </w:rPr>
              <w:t>004</w:t>
            </w:r>
          </w:p>
        </w:tc>
        <w:tc>
          <w:tcPr>
            <w:tcW w:w="3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2"/>
          </w:tcPr>
          <w:p>
            <w:pPr>
              <w:jc w:val="center"/>
              <w:ind w:right="1880"/>
              <w:spacing w:after="0"/>
              <w:rPr>
                <w:sz w:val="20"/>
                <w:szCs w:val="20"/>
                <w:color w:val="auto"/>
              </w:rPr>
            </w:pPr>
            <w:r>
              <w:rPr>
                <w:rFonts w:ascii="Arial" w:cs="Arial" w:eastAsia="Arial" w:hAnsi="Arial"/>
                <w:sz w:val="18"/>
                <w:szCs w:val="18"/>
                <w:color w:val="auto"/>
              </w:rPr>
              <w:t>(c)</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2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Description of Investment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gridSpan w:val="2"/>
            <w:vMerge w:val="restart"/>
          </w:tcPr>
          <w:p>
            <w:pPr>
              <w:jc w:val="center"/>
              <w:ind w:right="880"/>
              <w:spacing w:after="0"/>
              <w:rPr>
                <w:sz w:val="20"/>
                <w:szCs w:val="20"/>
                <w:color w:val="auto"/>
              </w:rPr>
            </w:pPr>
            <w:r>
              <w:rPr>
                <w:rFonts w:ascii="Arial" w:cs="Arial" w:eastAsia="Arial" w:hAnsi="Arial"/>
                <w:sz w:val="16"/>
                <w:szCs w:val="16"/>
                <w:color w:val="auto"/>
              </w:rPr>
              <w:t>(b)</w:t>
            </w:r>
          </w:p>
        </w:tc>
        <w:tc>
          <w:tcPr>
            <w:tcW w:w="4820" w:type="dxa"/>
            <w:vAlign w:val="bottom"/>
            <w:gridSpan w:val="4"/>
          </w:tcPr>
          <w:p>
            <w:pPr>
              <w:jc w:val="center"/>
              <w:ind w:right="560"/>
              <w:spacing w:after="0"/>
              <w:rPr>
                <w:sz w:val="20"/>
                <w:szCs w:val="20"/>
                <w:color w:val="auto"/>
              </w:rPr>
            </w:pPr>
            <w:r>
              <w:rPr>
                <w:rFonts w:ascii="Arial" w:cs="Arial" w:eastAsia="Arial" w:hAnsi="Arial"/>
                <w:sz w:val="18"/>
                <w:szCs w:val="18"/>
                <w:color w:val="auto"/>
              </w:rPr>
              <w:t>Including Maturity Date,</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restart"/>
          </w:tcPr>
          <w:p>
            <w:pPr>
              <w:jc w:val="center"/>
              <w:ind w:right="580"/>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46"/>
        </w:trPr>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gridSpan w:val="2"/>
            <w:vMerge w:val="continue"/>
          </w:tcPr>
          <w:p>
            <w:pPr>
              <w:spacing w:after="0"/>
              <w:rPr>
                <w:sz w:val="3"/>
                <w:szCs w:val="3"/>
                <w:color w:val="auto"/>
              </w:rPr>
            </w:pPr>
          </w:p>
        </w:tc>
        <w:tc>
          <w:tcPr>
            <w:tcW w:w="4820" w:type="dxa"/>
            <w:vAlign w:val="bottom"/>
            <w:gridSpan w:val="4"/>
            <w:vMerge w:val="restart"/>
          </w:tcPr>
          <w:p>
            <w:pPr>
              <w:jc w:val="center"/>
              <w:ind w:right="560"/>
              <w:spacing w:after="0"/>
              <w:rPr>
                <w:sz w:val="20"/>
                <w:szCs w:val="20"/>
                <w:color w:val="auto"/>
              </w:rPr>
            </w:pPr>
            <w:r>
              <w:rPr>
                <w:rFonts w:ascii="Arial" w:cs="Arial" w:eastAsia="Arial" w:hAnsi="Arial"/>
                <w:sz w:val="18"/>
                <w:szCs w:val="18"/>
                <w:color w:val="auto"/>
                <w:w w:val="99"/>
              </w:rPr>
              <w:t>Rate of Interest, Collateral,</w:t>
            </w: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3"/>
          </w:tcPr>
          <w:p>
            <w:pPr>
              <w:jc w:val="center"/>
              <w:spacing w:after="0" w:line="175" w:lineRule="exact"/>
              <w:rPr>
                <w:sz w:val="20"/>
                <w:szCs w:val="20"/>
                <w:color w:val="auto"/>
              </w:rPr>
            </w:pPr>
            <w:r>
              <w:rPr>
                <w:rFonts w:ascii="Arial" w:cs="Arial" w:eastAsia="Arial" w:hAnsi="Arial"/>
                <w:sz w:val="16"/>
                <w:szCs w:val="16"/>
                <w:color w:val="auto"/>
              </w:rPr>
              <w:t>Identity of Issue, Borrower,</w:t>
            </w:r>
          </w:p>
        </w:tc>
        <w:tc>
          <w:tcPr>
            <w:tcW w:w="4820" w:type="dxa"/>
            <w:vAlign w:val="bottom"/>
            <w:gridSpan w:val="4"/>
            <w:vMerge w:val="continue"/>
          </w:tcPr>
          <w:p>
            <w:pPr>
              <w:spacing w:after="0"/>
              <w:rPr>
                <w:sz w:val="15"/>
                <w:szCs w:val="15"/>
                <w:color w:val="auto"/>
              </w:rPr>
            </w:pPr>
          </w:p>
        </w:tc>
        <w:tc>
          <w:tcPr>
            <w:tcW w:w="1160" w:type="dxa"/>
            <w:vAlign w:val="bottom"/>
            <w:gridSpan w:val="3"/>
          </w:tcPr>
          <w:p>
            <w:pPr>
              <w:jc w:val="center"/>
              <w:ind w:right="750"/>
              <w:spacing w:after="0" w:line="175" w:lineRule="exact"/>
              <w:rPr>
                <w:sz w:val="20"/>
                <w:szCs w:val="20"/>
                <w:color w:val="auto"/>
              </w:rPr>
            </w:pPr>
            <w:r>
              <w:rPr>
                <w:rFonts w:ascii="Arial" w:cs="Arial" w:eastAsia="Arial" w:hAnsi="Arial"/>
                <w:sz w:val="16"/>
                <w:szCs w:val="16"/>
                <w:color w:val="auto"/>
              </w:rPr>
              <w:t>(d)</w:t>
            </w:r>
          </w:p>
        </w:tc>
        <w:tc>
          <w:tcPr>
            <w:tcW w:w="1260" w:type="dxa"/>
            <w:vAlign w:val="bottom"/>
            <w:gridSpan w:val="3"/>
          </w:tcPr>
          <w:p>
            <w:pPr>
              <w:jc w:val="center"/>
              <w:ind w:right="320"/>
              <w:spacing w:after="0" w:line="175" w:lineRule="exact"/>
              <w:rPr>
                <w:sz w:val="20"/>
                <w:szCs w:val="20"/>
                <w:color w:val="auto"/>
              </w:rPr>
            </w:pPr>
            <w:r>
              <w:rPr>
                <w:rFonts w:ascii="Arial" w:cs="Arial" w:eastAsia="Arial" w:hAnsi="Arial"/>
                <w:sz w:val="16"/>
                <w:szCs w:val="16"/>
                <w:color w:val="auto"/>
              </w:rPr>
              <w:t>Current</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4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rPr>
              <w:t>(a)</w:t>
            </w:r>
          </w:p>
        </w:tc>
        <w:tc>
          <w:tcPr>
            <w:tcW w:w="900" w:type="dxa"/>
            <w:vAlign w:val="bottom"/>
          </w:tcPr>
          <w:p>
            <w:pPr>
              <w:spacing w:after="0"/>
              <w:rPr>
                <w:sz w:val="18"/>
                <w:szCs w:val="18"/>
                <w:color w:val="auto"/>
              </w:rPr>
            </w:pPr>
          </w:p>
        </w:tc>
        <w:tc>
          <w:tcPr>
            <w:tcW w:w="2560" w:type="dxa"/>
            <w:vAlign w:val="bottom"/>
            <w:gridSpan w:val="2"/>
          </w:tcPr>
          <w:p>
            <w:pPr>
              <w:jc w:val="center"/>
              <w:ind w:right="880"/>
              <w:spacing w:after="0" w:line="169" w:lineRule="exact"/>
              <w:rPr>
                <w:sz w:val="20"/>
                <w:szCs w:val="20"/>
                <w:color w:val="auto"/>
              </w:rPr>
            </w:pPr>
            <w:r>
              <w:rPr>
                <w:rFonts w:ascii="Arial" w:cs="Arial" w:eastAsia="Arial" w:hAnsi="Arial"/>
                <w:sz w:val="16"/>
                <w:szCs w:val="16"/>
                <w:color w:val="auto"/>
              </w:rPr>
              <w:t>Lessor, or Similar Party</w:t>
            </w:r>
          </w:p>
        </w:tc>
        <w:tc>
          <w:tcPr>
            <w:tcW w:w="1300" w:type="dxa"/>
            <w:vAlign w:val="bottom"/>
          </w:tcPr>
          <w:p>
            <w:pPr>
              <w:spacing w:after="0"/>
              <w:rPr>
                <w:sz w:val="18"/>
                <w:szCs w:val="18"/>
                <w:color w:val="auto"/>
              </w:rPr>
            </w:pPr>
          </w:p>
        </w:tc>
        <w:tc>
          <w:tcPr>
            <w:tcW w:w="3520" w:type="dxa"/>
            <w:vAlign w:val="bottom"/>
            <w:gridSpan w:val="3"/>
          </w:tcPr>
          <w:p>
            <w:pPr>
              <w:jc w:val="center"/>
              <w:ind w:right="1860"/>
              <w:spacing w:after="0" w:line="169" w:lineRule="exact"/>
              <w:rPr>
                <w:sz w:val="20"/>
                <w:szCs w:val="20"/>
                <w:color w:val="auto"/>
              </w:rPr>
            </w:pPr>
            <w:r>
              <w:rPr>
                <w:rFonts w:ascii="Arial" w:cs="Arial" w:eastAsia="Arial" w:hAnsi="Arial"/>
                <w:sz w:val="18"/>
                <w:szCs w:val="18"/>
                <w:color w:val="auto"/>
                <w:w w:val="98"/>
              </w:rPr>
              <w:t>Par or Maturity Value</w:t>
            </w:r>
          </w:p>
        </w:tc>
        <w:tc>
          <w:tcPr>
            <w:tcW w:w="1160" w:type="dxa"/>
            <w:vAlign w:val="bottom"/>
            <w:gridSpan w:val="3"/>
          </w:tcPr>
          <w:p>
            <w:pPr>
              <w:jc w:val="center"/>
              <w:ind w:right="750"/>
              <w:spacing w:after="0" w:line="169" w:lineRule="exact"/>
              <w:rPr>
                <w:sz w:val="20"/>
                <w:szCs w:val="20"/>
                <w:color w:val="auto"/>
              </w:rPr>
            </w:pPr>
            <w:r>
              <w:rPr>
                <w:rFonts w:ascii="Arial" w:cs="Arial" w:eastAsia="Arial" w:hAnsi="Arial"/>
                <w:sz w:val="16"/>
                <w:szCs w:val="16"/>
                <w:color w:val="auto"/>
                <w:w w:val="97"/>
              </w:rPr>
              <w:t>Cost</w:t>
            </w:r>
          </w:p>
        </w:tc>
        <w:tc>
          <w:tcPr>
            <w:tcW w:w="280" w:type="dxa"/>
            <w:vAlign w:val="bottom"/>
          </w:tcPr>
          <w:p>
            <w:pPr>
              <w:spacing w:after="0"/>
              <w:rPr>
                <w:sz w:val="18"/>
                <w:szCs w:val="18"/>
                <w:color w:val="auto"/>
              </w:rPr>
            </w:pPr>
          </w:p>
        </w:tc>
        <w:tc>
          <w:tcPr>
            <w:tcW w:w="980" w:type="dxa"/>
            <w:vAlign w:val="bottom"/>
            <w:gridSpan w:val="2"/>
          </w:tcPr>
          <w:p>
            <w:pPr>
              <w:jc w:val="center"/>
              <w:ind w:right="580"/>
              <w:spacing w:after="0" w:line="169" w:lineRule="exact"/>
              <w:rPr>
                <w:sz w:val="20"/>
                <w:szCs w:val="20"/>
                <w:color w:val="auto"/>
              </w:rPr>
            </w:pPr>
            <w:r>
              <w:rPr>
                <w:rFonts w:ascii="Arial" w:cs="Arial" w:eastAsia="Arial" w:hAnsi="Arial"/>
                <w:sz w:val="16"/>
                <w:szCs w:val="16"/>
                <w:color w:val="auto"/>
                <w:w w:val="97"/>
              </w:rPr>
              <w:t>Value</w:t>
            </w: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Freedom 2060 Fund Class K6</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160,896 shares</w:t>
            </w:r>
          </w:p>
        </w:tc>
        <w:tc>
          <w:tcPr>
            <w:tcW w:w="1160" w:type="dxa"/>
            <w:vAlign w:val="bottom"/>
            <w:tcBorders>
              <w:bottom w:val="single" w:sz="8" w:color="CCEEFF"/>
            </w:tcBorders>
            <w:gridSpan w:val="3"/>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2,773,839</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Freedom 2065 Fund Class K6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00"/>
              <w:spacing w:after="0"/>
              <w:rPr>
                <w:sz w:val="20"/>
                <w:szCs w:val="20"/>
                <w:color w:val="auto"/>
              </w:rPr>
            </w:pPr>
            <w:r>
              <w:rPr>
                <w:rFonts w:ascii="Arial" w:cs="Arial" w:eastAsia="Arial" w:hAnsi="Arial"/>
                <w:sz w:val="18"/>
                <w:szCs w:val="18"/>
                <w:color w:val="auto"/>
              </w:rPr>
              <w:t>134,905 shares</w:t>
            </w:r>
          </w:p>
        </w:tc>
        <w:tc>
          <w:tcPr>
            <w:tcW w:w="1160" w:type="dxa"/>
            <w:vAlign w:val="bottom"/>
            <w:gridSpan w:val="3"/>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2,128,804</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Freedom 2070 Fund Class K6</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13,443 shares</w:t>
            </w:r>
          </w:p>
        </w:tc>
        <w:tc>
          <w:tcPr>
            <w:tcW w:w="1160" w:type="dxa"/>
            <w:vAlign w:val="bottom"/>
            <w:tcBorders>
              <w:bottom w:val="single" w:sz="8" w:color="CCEEFF"/>
            </w:tcBorders>
            <w:gridSpan w:val="3"/>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165,885</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Freedom Retirement Fund Class K6 38,387</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60"/>
              <w:spacing w:after="0"/>
              <w:rPr>
                <w:sz w:val="20"/>
                <w:szCs w:val="20"/>
                <w:color w:val="auto"/>
              </w:rPr>
            </w:pPr>
            <w:r>
              <w:rPr>
                <w:rFonts w:ascii="Arial" w:cs="Arial" w:eastAsia="Arial" w:hAnsi="Arial"/>
                <w:sz w:val="18"/>
                <w:szCs w:val="18"/>
                <w:color w:val="auto"/>
              </w:rPr>
              <w:t>shares</w:t>
            </w:r>
          </w:p>
        </w:tc>
        <w:tc>
          <w:tcPr>
            <w:tcW w:w="1160" w:type="dxa"/>
            <w:vAlign w:val="bottom"/>
            <w:gridSpan w:val="3"/>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408,987</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International Index Fund</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6,260 shares</w:t>
            </w:r>
          </w:p>
        </w:tc>
        <w:tc>
          <w:tcPr>
            <w:tcW w:w="1160" w:type="dxa"/>
            <w:vAlign w:val="bottom"/>
            <w:tcBorders>
              <w:bottom w:val="single" w:sz="8" w:color="CCEEFF"/>
            </w:tcBorders>
            <w:gridSpan w:val="3"/>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380,628</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Mid Cap Index Fund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40"/>
              <w:spacing w:after="0"/>
              <w:rPr>
                <w:sz w:val="20"/>
                <w:szCs w:val="20"/>
                <w:color w:val="auto"/>
              </w:rPr>
            </w:pPr>
            <w:r>
              <w:rPr>
                <w:rFonts w:ascii="Arial" w:cs="Arial" w:eastAsia="Arial" w:hAnsi="Arial"/>
                <w:sz w:val="18"/>
                <w:szCs w:val="18"/>
                <w:color w:val="auto"/>
              </w:rPr>
              <w:t>26,455 shares</w:t>
            </w:r>
          </w:p>
        </w:tc>
        <w:tc>
          <w:tcPr>
            <w:tcW w:w="1160" w:type="dxa"/>
            <w:vAlign w:val="bottom"/>
            <w:gridSpan w:val="3"/>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976,999</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Government Money Market Fund 3,757,380</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1160" w:type="dxa"/>
            <w:vAlign w:val="bottom"/>
            <w:tcBorders>
              <w:bottom w:val="single" w:sz="8" w:color="CCEEFF"/>
            </w:tcBorders>
            <w:gridSpan w:val="3"/>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3,757,380</w:t>
            </w:r>
          </w:p>
        </w:tc>
        <w:tc>
          <w:tcPr>
            <w:tcW w:w="0" w:type="dxa"/>
            <w:vAlign w:val="bottom"/>
          </w:tcPr>
          <w:p>
            <w:pPr>
              <w:spacing w:after="0"/>
              <w:rPr>
                <w:sz w:val="1"/>
                <w:szCs w:val="1"/>
                <w:color w:val="auto"/>
              </w:rPr>
            </w:pPr>
          </w:p>
        </w:tc>
      </w:tr>
      <w:tr>
        <w:trPr>
          <w:trHeight w:val="224"/>
        </w:trPr>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tcPr>
          <w:p>
            <w:pPr>
              <w:spacing w:after="0"/>
              <w:rPr>
                <w:sz w:val="20"/>
                <w:szCs w:val="20"/>
                <w:color w:val="auto"/>
              </w:rPr>
            </w:pPr>
            <w:r>
              <w:rPr>
                <w:rFonts w:ascii="Arial" w:cs="Arial" w:eastAsia="Arial" w:hAnsi="Arial"/>
                <w:sz w:val="18"/>
                <w:szCs w:val="18"/>
                <w:color w:val="auto"/>
              </w:rPr>
              <w:t>Fidelity Small Cap Index Fund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40"/>
              <w:spacing w:after="0"/>
              <w:rPr>
                <w:sz w:val="20"/>
                <w:szCs w:val="20"/>
                <w:color w:val="auto"/>
              </w:rPr>
            </w:pPr>
            <w:r>
              <w:rPr>
                <w:rFonts w:ascii="Arial" w:cs="Arial" w:eastAsia="Arial" w:hAnsi="Arial"/>
                <w:sz w:val="18"/>
                <w:szCs w:val="18"/>
                <w:color w:val="auto"/>
              </w:rPr>
              <w:t>23,240 shares</w:t>
            </w:r>
          </w:p>
        </w:tc>
        <w:tc>
          <w:tcPr>
            <w:tcW w:w="1160" w:type="dxa"/>
            <w:vAlign w:val="bottom"/>
            <w:gridSpan w:val="3"/>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718,827</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Fidelity Investments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Fidelity U.S. Bond Index Fund</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298,571 shares</w:t>
            </w:r>
          </w:p>
        </w:tc>
        <w:tc>
          <w:tcPr>
            <w:tcW w:w="1160" w:type="dxa"/>
            <w:vAlign w:val="bottom"/>
            <w:tcBorders>
              <w:bottom w:val="single" w:sz="8" w:color="CCEEFF"/>
            </w:tcBorders>
            <w:gridSpan w:val="3"/>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3,152,905</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Massachusetts Financial Services</w:t>
            </w:r>
          </w:p>
        </w:tc>
        <w:tc>
          <w:tcPr>
            <w:tcW w:w="4820" w:type="dxa"/>
            <w:vAlign w:val="bottom"/>
            <w:gridSpan w:val="4"/>
          </w:tcPr>
          <w:p>
            <w:pPr>
              <w:spacing w:after="0"/>
              <w:rPr>
                <w:sz w:val="20"/>
                <w:szCs w:val="20"/>
                <w:color w:val="auto"/>
              </w:rPr>
            </w:pPr>
            <w:r>
              <w:rPr>
                <w:rFonts w:ascii="Arial" w:cs="Arial" w:eastAsia="Arial" w:hAnsi="Arial"/>
                <w:sz w:val="18"/>
                <w:szCs w:val="18"/>
                <w:color w:val="auto"/>
              </w:rPr>
              <w:t>MFS New Discovery Value Fund Class R4 101,364</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60"/>
              <w:spacing w:after="0"/>
              <w:rPr>
                <w:sz w:val="20"/>
                <w:szCs w:val="20"/>
                <w:color w:val="auto"/>
              </w:rPr>
            </w:pPr>
            <w:r>
              <w:rPr>
                <w:rFonts w:ascii="Arial" w:cs="Arial" w:eastAsia="Arial" w:hAnsi="Arial"/>
                <w:sz w:val="18"/>
                <w:szCs w:val="18"/>
                <w:color w:val="auto"/>
              </w:rPr>
              <w:t>shares</w:t>
            </w:r>
          </w:p>
        </w:tc>
        <w:tc>
          <w:tcPr>
            <w:tcW w:w="1160" w:type="dxa"/>
            <w:vAlign w:val="bottom"/>
            <w:gridSpan w:val="3"/>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1,707,984</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Massachusetts Financial Services</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MFS Value Fund Class R3</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47,569 shares</w:t>
            </w:r>
          </w:p>
        </w:tc>
        <w:tc>
          <w:tcPr>
            <w:tcW w:w="1160" w:type="dxa"/>
            <w:vAlign w:val="bottom"/>
            <w:tcBorders>
              <w:bottom w:val="single" w:sz="8" w:color="CCEEFF"/>
            </w:tcBorders>
            <w:gridSpan w:val="3"/>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2,362,274</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Pacific Investment Management</w:t>
            </w:r>
          </w:p>
        </w:tc>
        <w:tc>
          <w:tcPr>
            <w:tcW w:w="4820" w:type="dxa"/>
            <w:vAlign w:val="bottom"/>
            <w:gridSpan w:val="4"/>
          </w:tcPr>
          <w:p>
            <w:pPr>
              <w:spacing w:after="0"/>
              <w:rPr>
                <w:sz w:val="20"/>
                <w:szCs w:val="20"/>
                <w:color w:val="auto"/>
              </w:rPr>
            </w:pPr>
            <w:r>
              <w:rPr>
                <w:rFonts w:ascii="Arial" w:cs="Arial" w:eastAsia="Arial" w:hAnsi="Arial"/>
                <w:sz w:val="18"/>
                <w:szCs w:val="18"/>
                <w:color w:val="auto"/>
              </w:rPr>
              <w:t>PIMCO All Asset Fund Institutional Class 9,621</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60"/>
              <w:spacing w:after="0"/>
              <w:rPr>
                <w:sz w:val="20"/>
                <w:szCs w:val="20"/>
                <w:color w:val="auto"/>
              </w:rPr>
            </w:pPr>
            <w:r>
              <w:rPr>
                <w:rFonts w:ascii="Arial" w:cs="Arial" w:eastAsia="Arial" w:hAnsi="Arial"/>
                <w:sz w:val="18"/>
                <w:szCs w:val="18"/>
                <w:color w:val="auto"/>
              </w:rPr>
              <w:t>shares</w:t>
            </w:r>
          </w:p>
        </w:tc>
        <w:tc>
          <w:tcPr>
            <w:tcW w:w="1160" w:type="dxa"/>
            <w:vAlign w:val="bottom"/>
            <w:gridSpan w:val="3"/>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109,867</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 Rowe Price</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 Rowe Price Integrated U.S. Small-Cap Growth</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Equity Fund Advisor Class 34,860 shares</w:t>
            </w:r>
          </w:p>
        </w:tc>
        <w:tc>
          <w:tcPr>
            <w:tcW w:w="1160" w:type="dxa"/>
            <w:vAlign w:val="bottom"/>
            <w:tcBorders>
              <w:bottom w:val="single" w:sz="8" w:color="CCEEFF"/>
            </w:tcBorders>
            <w:gridSpan w:val="3"/>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1,520,586</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Victory Sycamore</w:t>
            </w:r>
          </w:p>
        </w:tc>
        <w:tc>
          <w:tcPr>
            <w:tcW w:w="4820" w:type="dxa"/>
            <w:vAlign w:val="bottom"/>
            <w:gridSpan w:val="4"/>
          </w:tcPr>
          <w:p>
            <w:pPr>
              <w:spacing w:after="0"/>
              <w:rPr>
                <w:sz w:val="20"/>
                <w:szCs w:val="20"/>
                <w:color w:val="auto"/>
              </w:rPr>
            </w:pPr>
            <w:r>
              <w:rPr>
                <w:rFonts w:ascii="Arial" w:cs="Arial" w:eastAsia="Arial" w:hAnsi="Arial"/>
                <w:sz w:val="18"/>
                <w:szCs w:val="18"/>
                <w:color w:val="auto"/>
              </w:rPr>
              <w:t>Victory Sycamore Established Value Fund Class Y</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4"/>
          </w:tcPr>
          <w:p>
            <w:pPr>
              <w:ind w:left="160"/>
              <w:spacing w:after="0"/>
              <w:rPr>
                <w:sz w:val="20"/>
                <w:szCs w:val="20"/>
                <w:color w:val="auto"/>
              </w:rPr>
            </w:pPr>
            <w:r>
              <w:rPr>
                <w:rFonts w:ascii="Arial" w:cs="Arial" w:eastAsia="Arial" w:hAnsi="Arial"/>
                <w:sz w:val="18"/>
                <w:szCs w:val="18"/>
                <w:color w:val="auto"/>
              </w:rPr>
              <w:t>48,417 shares</w:t>
            </w:r>
          </w:p>
        </w:tc>
        <w:tc>
          <w:tcPr>
            <w:tcW w:w="1160" w:type="dxa"/>
            <w:vAlign w:val="bottom"/>
            <w:gridSpan w:val="3"/>
          </w:tcPr>
          <w:p>
            <w:pPr>
              <w:jc w:val="center"/>
              <w:ind w:right="77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2,179,722</w:t>
            </w:r>
          </w:p>
        </w:tc>
        <w:tc>
          <w:tcPr>
            <w:tcW w:w="0" w:type="dxa"/>
            <w:vAlign w:val="bottom"/>
          </w:tcPr>
          <w:p>
            <w:pPr>
              <w:spacing w:after="0"/>
              <w:rPr>
                <w:sz w:val="1"/>
                <w:szCs w:val="1"/>
                <w:color w:val="auto"/>
              </w:rPr>
            </w:pPr>
          </w:p>
        </w:tc>
      </w:tr>
      <w:tr>
        <w:trPr>
          <w:trHeight w:val="23"/>
        </w:trPr>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95,671,251</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Lakeland Financial Corporation</w:t>
            </w: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552,388 shares</w:t>
            </w:r>
          </w:p>
        </w:tc>
        <w:tc>
          <w:tcPr>
            <w:tcW w:w="860" w:type="dxa"/>
            <w:vAlign w:val="bottom"/>
            <w:tcBorders>
              <w:bottom w:val="single" w:sz="8" w:color="CCEEFF"/>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31,519,256</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127,190,507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14605</wp:posOffset>
            </wp:positionV>
            <wp:extent cx="9944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8" w:lineRule="exact"/>
        <w:rPr>
          <w:sz w:val="20"/>
          <w:szCs w:val="20"/>
          <w:color w:val="auto"/>
        </w:rPr>
      </w:pPr>
    </w:p>
    <w:p>
      <w:pPr>
        <w:ind w:left="700" w:hanging="437"/>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Denotes party-in-interest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-127635</wp:posOffset>
            </wp:positionV>
            <wp:extent cx="9944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43" w:lineRule="exact"/>
        <w:rPr>
          <w:sz w:val="20"/>
          <w:szCs w:val="20"/>
          <w:color w:val="auto"/>
        </w:rPr>
      </w:pPr>
    </w:p>
    <w:p>
      <w:pPr>
        <w:ind w:left="700" w:hanging="45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are participant directed, therefore, historical cost information is not required</w:t>
      </w:r>
    </w:p>
    <w:p>
      <w:pPr>
        <w:spacing w:after="0" w:line="63" w:lineRule="exact"/>
        <w:rPr>
          <w:sz w:val="20"/>
          <w:szCs w:val="20"/>
          <w:color w:val="auto"/>
        </w:rPr>
      </w:pPr>
    </w:p>
    <w:p>
      <w:pPr>
        <w:ind w:left="700" w:right="2980" w:hanging="452"/>
        <w:spacing w:after="0" w:line="28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Plan-level money market account used for recordkeeping of the purchase and sale of fractional shares of LFC common stock and is not available to participants as an investment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11.</w:t>
      </w:r>
    </w:p>
    <w:sectPr>
      <w:pgSz w:w="11900" w:h="16838" w:orient="portrait"/>
      <w:cols w:equalWidth="0" w:num="1">
        <w:col w:w="11240"/>
      </w:cols>
      <w:pgMar w:left="320" w:top="12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2026-06-16T12:08:46Z</dcterms:created>
  <dcterms:modified xsi:type="dcterms:W3CDTF">2026-06-16T12:08:46Z</dcterms:modified>
</cp:coreProperties>
</file>